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LTV</w:t>
      </w:r>
    </w:p>
    <w:p>
      <w:r>
        <w:rPr>
          <w:color w:val="555555"/>
          <w:sz w:val="18"/>
        </w:rPr>
        <w:t xml:space="preserve">Lotstarifverordnung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Lotsabgaben und Lotsgelder werden von der Generaldirektion Wasserstraßen und Schifffahrt erhoben und eingezogen. Diese kann Dritte mit der Entgegennahme der Zahlungen beauftragen.</w:t>
      </w:r>
    </w:p>
    <w:p>
      <w:r>
        <w:t xml:space="preserve">(2) Die Generaldirektion Wasserstraßen und Schifffahrt kann von der Zahlung der Lotsabgaben aus Gründen des öffentlichen Interesses ganz oder teilweise befreien.</w:t>
      </w:r>
    </w:p>
    <w:p>
      <w:r>
        <w:rPr>
          <w:color w:val="555555"/>
          <w:sz w:val="17"/>
        </w:rPr>
        <w:t xml:space="preserve">Zitiervorschlag: § 7 LTV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