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LTV</w:t>
      </w:r>
    </w:p>
    <w:p>
      <w:r>
        <w:rPr>
          <w:color w:val="555555"/>
          <w:sz w:val="18"/>
        </w:rPr>
        <w:t xml:space="preserve">Lotstarifverordnung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Zahlungspflicht entsteht bei den Lotsabgaben mit Befahren des Reviers, bei den Lotsgeldern mit der Anforderung des Seelotsen.</w:t>
      </w:r>
    </w:p>
    <w:p>
      <w:r>
        <w:t xml:space="preserve">(2) Lotsabgaben und Lotsgelder werden mit Rechnungserteilung fällig. Sie sind ab dem 15. Tag nach Fälligkeit nach den Vorschriften der §§ 288 und 247 des Bürgerlichen Gesetzbuches zu verzinsen, § 286 Absatz 4 des Bürgerlichen Gesetzbuches findet entsprechend Anwendung.</w:t>
      </w:r>
    </w:p>
    <w:p>
      <w:r>
        <w:t xml:space="preserve">(3) Besteht ein Zahlungsrückstand kann das Befahren des Reviers und die Tätigkeit der Seelotsen von der Zahlung eines angemessenen Vorschusses oder von einer angemessenen Sicherheitsleistung abhängig gemacht werden.</w:t>
      </w:r>
    </w:p>
    <w:p>
      <w:r>
        <w:rPr>
          <w:color w:val="555555"/>
          <w:sz w:val="17"/>
        </w:rPr>
        <w:t xml:space="preserve">Zitiervorschlag: § 4 LTV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