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LTAusbV — Gegenstand der Berufsausbildung und Ausbildungsrahmenplan</w:t>
      </w:r>
    </w:p>
    <w:p>
      <w:r>
        <w:rPr>
          <w:color w:val="555555"/>
          <w:sz w:val="18"/>
        </w:rPr>
        <w:t xml:space="preserve">Lokführer- und Transportausbildungsverordnung</w:t>
      </w:r>
    </w:p>
    <w:p>
      <w:r>
        <w:rPr>
          <w:color w:val="555555"/>
          <w:sz w:val="18"/>
        </w:rPr>
        <w:t xml:space="preserve">Stand: 01.08.2022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4 LTAusbV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