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LTAusbV — Begriffsbestimmungen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Abweichungen im Sinne dieser Verordnung sind alle Änderungen der Planung des Eisenbahnbetriebs, wie zum Beispiel ein Gleiswechsel oder eine Umleitung.</w:t>
      </w:r>
    </w:p>
    <w:p>
      <w:r>
        <w:t xml:space="preserve">(2) Störungen im Sinne dieser Verordnung sind unerwartete technische Ereignisse im Eisenbahnbetrieb, die die Sicherheit des Eisenbahnbetriebs beeinträchtigen können, wie zum Beispiel eine Signalstörung oder eine Störung am Fahrzeug.</w:t>
      </w:r>
    </w:p>
    <w:p>
      <w:r>
        <w:t xml:space="preserve">(3) Herstellen der Fahrbereitschaft im Sinne dieser Verordnung ist die Vorbereitung zur Durchführung einer Rangierfahrt, wie zum Beispiel das Entfernen der Sicherungselemente.</w:t>
      </w:r>
    </w:p>
    <w:p>
      <w:r>
        <w:t xml:space="preserve">(4) Herstellen der Abfahrbereitschaft im Sinne dieser Verordnung ist die Vorbereitung zur Durchführung einer Zugfahrt, wie zum Beispiel eine Bremsprobe oder eine Wagenprüfung.</w:t>
      </w:r>
    </w:p>
    <w:p>
      <w:r>
        <w:rPr>
          <w:color w:val="555555"/>
          <w:sz w:val="17"/>
        </w:rPr>
        <w:t xml:space="preserve">Zitiervorschlag: § 3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