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LTAusbV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Lokführer- und Transportausbildungsverordnung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„Gesamtsystem Eisenbahn und Zugvorbereitung“    mit 20 Prozent,</w:t>
      </w:r>
    </w:p>
    <w:p>
      <w:r>
        <w:rPr>
          <w:rFonts w:ascii="Courier New" w:hAnsi="Courier New"/>
          <w:sz w:val="17"/>
        </w:rPr>
        <w:t xml:space="preserve">„Prüfen von Triebfahrzeugen“    mit 20 Prozent,</w:t>
      </w:r>
    </w:p>
    <w:p>
      <w:r>
        <w:rPr>
          <w:rFonts w:ascii="Courier New" w:hAnsi="Courier New"/>
          <w:sz w:val="17"/>
        </w:rPr>
        <w:t xml:space="preserve">„Zug- und Rangierfahrten durchführen“    mit 30 Prozent,</w:t>
      </w:r>
    </w:p>
    <w:p>
      <w:r>
        <w:rPr>
          <w:rFonts w:ascii="Courier New" w:hAnsi="Courier New"/>
          <w:sz w:val="17"/>
        </w:rPr>
        <w:t xml:space="preserve">„Eisenbahnbetrieb im Regelbetrieb sowie bei Abweichungen und Störungen“    mit 20 Prozent</w:t>
      </w:r>
    </w:p>
    <w:p>
      <w:r>
        <w:rPr>
          <w:rFonts w:ascii="Courier New" w:hAnsi="Courier New"/>
          <w:sz w:val="17"/>
        </w:rPr>
        <w:t xml:space="preserve">   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17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„Zug- und Rangierfahrten durchführen“ mit mindestens „ausreichend“,</w:t>
      </w:r>
    </w:p>
    <w:p>
      <w:pPr>
        <w:ind w:left="420"/>
      </w:pPr>
      <w:r>
        <w:t xml:space="preserve">4. im Prüfungsbereich „Eisenbahnbetrieb im Regelbetrieb sowie bei Abweichungen und Störungen“ mit mindestens „ausreichend“,</w:t>
      </w:r>
    </w:p>
    <w:p>
      <w:pPr>
        <w:ind w:left="420"/>
      </w:pPr>
      <w:r>
        <w:t xml:space="preserve">5. in mindestens einem weiteren Prüfungsbereich von Teil 2 mit mindestens „ausreichend“ und</w:t>
      </w:r>
    </w:p>
    <w:p>
      <w:pPr>
        <w:ind w:left="420"/>
      </w:pPr>
      <w:r>
        <w:t xml:space="preserve">6.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16 LTAusbV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