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LTAusbV — Prüfungsbereich „Prüfen von Triebfahrzeugen“</w:t>
      </w:r>
    </w:p>
    <w:p>
      <w:r>
        <w:rPr>
          <w:color w:val="555555"/>
          <w:sz w:val="18"/>
        </w:rPr>
        <w:t xml:space="preserve">Lokführer- und Transportausbildungsverordnung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Im Prüfungsbereich „Prüfen von Triebfahrzeugen“ hat der Prüfling nachzuweisen, dass er in der Lage ist,</w:t>
      </w:r>
    </w:p>
    <w:p>
      <w:pPr>
        <w:ind w:left="420"/>
      </w:pPr>
      <w:r>
        <w:t xml:space="preserve">1. Fahrzeuge in Betrieb zu nehmen und Fahrbereitschaft herzustellen,</w:t>
      </w:r>
    </w:p>
    <w:p>
      <w:pPr>
        <w:ind w:left="420"/>
      </w:pPr>
      <w:r>
        <w:t xml:space="preserve">2. Störungen zu lokalisieren und Maßnahmen zu deren Behebung einzuleiten,</w:t>
      </w:r>
    </w:p>
    <w:p>
      <w:pPr>
        <w:ind w:left="420"/>
      </w:pPr>
      <w:r>
        <w:t xml:space="preserve">3. Fahrzeuge außer Betrieb zu nehmen und abzustellen sowie</w:t>
      </w:r>
    </w:p>
    <w:p>
      <w:pPr>
        <w:ind w:left="420"/>
      </w:pPr>
      <w:r>
        <w:t xml:space="preserve">4. Maßnahmen zur Sicherheit und zum Gesundheitsschutz bei der Arbeit, zur Nachhaltigkeit und zum Umweltschutz durchzuführen.</w:t>
      </w:r>
    </w:p>
    <w:p>
      <w:r>
        <w:t xml:space="preserve">(2) Der Prüfling hat eine Arbeitsaufgabe durchzuführen. Während der Durchführung wird mit ihm ein situatives Fachgespräch über die Arbeitsaufgabe geführt.</w:t>
      </w:r>
    </w:p>
    <w:p>
      <w:r>
        <w:t xml:space="preserve">(3) Die Prüfungszeit beträgt insgesamt 90 Minuten. Das situative Fachgespräch dauert höchsten 10 Minuten.</w:t>
      </w:r>
    </w:p>
    <w:p>
      <w:r>
        <w:rPr>
          <w:color w:val="555555"/>
          <w:sz w:val="17"/>
        </w:rPr>
        <w:t xml:space="preserve">Zitiervorschlag: § 12 LTAusbV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https://recht.nulegal.eu/gesetze/LTAusbV/12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