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LTAusbV — Prüfungsbereiche des Teiles 2</w:t>
      </w:r>
    </w:p>
    <w:p>
      <w:r>
        <w:rPr>
          <w:color w:val="555555"/>
          <w:sz w:val="18"/>
        </w:rPr>
        <w:t xml:space="preserve">Lokführer- und Transportausbildungsverordnung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„Prüfen von Triebfahrzeugen“,</w:t>
      </w:r>
    </w:p>
    <w:p>
      <w:pPr>
        <w:ind w:left="420"/>
      </w:pPr>
      <w:r>
        <w:t xml:space="preserve">2. „Zug- und Rangierfahrten durchführen“,</w:t>
      </w:r>
    </w:p>
    <w:p>
      <w:pPr>
        <w:ind w:left="420"/>
      </w:pPr>
      <w:r>
        <w:t xml:space="preserve">3. „Eisenbahnbetrieb im Regelbetrieb sowie bei Abweichungen und Störungen“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11 LTAusbV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