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LStVG (Bayern) — Richtung der Maßnahmen</w:t>
      </w:r>
    </w:p>
    <w:p>
      <w:r>
        <w:rPr>
          <w:color w:val="555555"/>
          <w:sz w:val="18"/>
        </w:rPr>
        <w:t xml:space="preserve">Landesstraf- und Verordnungsgesetz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Macht das Verhalten oder der Zustand einer Person Maßnahmen nach diesem Gesetz notwendig, so sind diese gegen die Person zu richten, die die Gefahr oder die Störung verursacht hat. Hat ein strafunmündiges Kind oder eine Person, für die wegen einer psychischen Krankheit oder einer geistigen oder seelischen Behinderung zur Besorgung aller ihrer Angelegenheiten ein Betreuer bestellt ist, die Gefahr oder die Störung verursacht, so können die Sicherheitsbehörden ihre Maßnahmen auch gegen den richten, dem die Aufsicht über eine solche Person obliegt. Dies gilt auch, wenn der Aufgabenkreis des Betreuers die in § 1815 Abs. 2 Nr. 5 und 6 sowie § 1817 Abs. 2 des Bürgerlichen Gesetzbuchs bezeichneten Angelegenheiten nicht erfaßt. Hat eine Person, die zu einer Verrichtung bestellt ist, in Ausführung dieser Verrichtung die Gefahr oder die Störung verursacht, so kann die Maßnahme auch gegen den gerichtet werden, der die Person zu der Verrichtung bestellt hat.</w:t>
      </w:r>
    </w:p>
    <w:p>
      <w:r>
        <w:t xml:space="preserve">(2) Macht das Verhalten oder der Zustand eines Tieres oder der Zustand einer anderen Sache Maßnahmen nach diesem Gesetz notwendig, so sind diese gegen den Inhaber der tatsächlichen Gewalt zu richten. Die Maßnahmen können auch gegen den Eigentümer oder den sonst dinglich Verfügungsberechtigten gerichtet werden; das gilt nicht, wenn der Inhaber der tatsächlichen Gewalt diese gegen den Willen des Eigentümers oder sonst dinglich Verfügungsberechtigten ausübt. Soweit auf Grund besonderer Vorschriften eine andere Person verantwortlich ist, sind die Maßnahmen in erster Linie gegen diese zu richten.</w:t>
      </w:r>
    </w:p>
    <w:p>
      <w:r>
        <w:t xml:space="preserve">(3) Zur Abwehr einer unmittelbar bevorstehenden erheblichen Gefahr oder zur Beseitigung einer erheblichen Störung können Maßnahmen auch gegen eine Person gerichtet werden, die nicht nach Absatz 1 oder Absatz 2 verantwortlich ist; insbesondere kann sie zur Hilfeleistung angehalten werden, wenn und soweit weder Maßnahmen gegen die verantwortliche Person noch Maßnahmen nach Art. 7 Abs. 3 möglich, ausreichend oder zulässig sind. Maßnahmen nach Satz 1 dürfen nicht getroffen werden, wenn die nicht verantwortliche Person dadurch selbst an Leben oder Gesundheit gefährdet oder an der Erfüllung überwiegender anderweitiger Pflichten gehindert würde.</w:t>
      </w:r>
    </w:p>
    <w:p>
      <w:r>
        <w:rPr>
          <w:color w:val="555555"/>
          <w:sz w:val="17"/>
        </w:rPr>
        <w:t xml:space="preserve">Zitiervorschlag: Art 9 LStVG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https://recht.nulegal.eu/gesetze/LStVG/9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