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LStVG (Bayern) — Grundsatz der Verhältnismäßigkeit</w:t>
      </w:r>
    </w:p>
    <w:p>
      <w:r>
        <w:rPr>
          <w:color w:val="555555"/>
          <w:sz w:val="18"/>
        </w:rPr>
        <w:t xml:space="preserve">Landesstraf- und Verordnungsgesetz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Unter mehreren möglichen und geeigneten Maßnahmen ist diejenige zu treffen, die den einzelnen und die Allgemeinheit am wenigsten beeinträchtigt.</w:t>
      </w:r>
    </w:p>
    <w:p>
      <w:r>
        <w:t xml:space="preserve">(2) Ein durch die Maßnahme zu erwartender Schaden darf nicht erkennbar außer Verhältnis zu dem beabsichtigten Erfolg stehen.</w:t>
      </w:r>
    </w:p>
    <w:p>
      <w:r>
        <w:t xml:space="preserve">(3) Maßnahmen sind zu beenden, wenn ihr Zweck erreicht ist oder sich zeigt, daß er nicht erreicht werden kann.</w:t>
      </w:r>
    </w:p>
    <w:p>
      <w:r>
        <w:rPr>
          <w:color w:val="555555"/>
          <w:sz w:val="17"/>
        </w:rPr>
        <w:t xml:space="preserve">Zitiervorschlag: Art 8 LStVG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https://recht.nulegal.eu/gesetze/LStVG/8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