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LStVG (Bayern) — Befugnisse der Sicherheitsbehörden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Anordnungen und sonstige Maßnahmen, die in Rechte anderer eingreifen, dürfen nur getroffen werden, wenn die Sicherheitsbehörden durch Gesetz oder auf Grund eines Gesetzes dazu besonders ermächtigt sind.</w:t>
      </w:r>
    </w:p>
    <w:p>
      <w:r>
        <w:t xml:space="preserve">(2) Soweit eine solche gesetzliche Ermächtigung nicht in Vorschriften dieses Gesetzes oder in anderen Rechtsvorschriften enthalten ist, können die Sicherheitsbehörden zur Erfüllung ihrer Aufgaben für den Einzelfall Anordnungen nur treffen, um</w:t>
      </w:r>
    </w:p>
    <w:p>
      <w:r>
        <w:t xml:space="preserve">1. rechtswidrige Taten, die den Tatbestand eines Strafgesetzes oder einer Ordnungswidrigkeit verwirklichen, oder verfassungsfeindliche Handlungen zu verhüten oder zu unterbinden,</w:t>
      </w:r>
    </w:p>
    <w:p>
      <w:r>
        <w:t xml:space="preserve">2. durch solche Handlungen verursachte Zustände zu beseitigen,</w:t>
      </w:r>
    </w:p>
    <w:p>
      <w:r>
        <w:t xml:space="preserve">3. Gefahren abzuwehren oder Störungen zu beseitigen, die Leben, Gesundheit oder die Freiheit von Menschen oder Sachwerte, deren Erhaltung im öffentlichen Interesse geboten erscheint, bedrohen oder verletzen.</w:t>
      </w:r>
    </w:p>
    <w:p>
      <w:r>
        <w:t xml:space="preserve">(3) Sind Anordnungen nach Absatz 2 nicht möglich, nicht zulässig oder versprechen sie keinen Erfolg, so können die Sicherheitsbehörden die Gefahr oder Störung selbst, durch die Polizei oder durch vertraglich Beauftragte abwehren oder beseitigen.</w:t>
      </w:r>
    </w:p>
    <w:p>
      <w:r>
        <w:t xml:space="preserve">(4) Die Freiheit der Person und die Unverletzlichkeit der Wohnung (Art. 2 Abs. 2 Satz 2 und Art. 13 des Grundgesetzes, Art. 102 Abs. 1 und Art. 106 Abs. 3 der Verfassung) dürfen durch Maßnahmen auf Grund der Absätze 2 und 3 nicht eingeschränkt werden.</w:t>
      </w:r>
    </w:p>
    <w:p>
      <w:r>
        <w:t xml:space="preserve">(5) Verfassungsfeindlich im Sinn dieses Gesetzes ist eine Handlung, die darauf gerichtet ist, die verfassungsmäßige Ordnung der Bundesrepublik Deutschland oder eines ihrer Länder auf verfassungswidrige Weise zu stören oder zu ändern, ohne den Tatbestand eines Strafgesetzes oder einer Ordnungswidrigkeit zu verwirklichen.</w:t>
      </w:r>
    </w:p>
    <w:p>
      <w:r>
        <w:t xml:space="preserve">(6) Mit Geldbuße bis zu dreitausend Euro kann belegt werden, wer vorsätzlich oder fahrlässig einer auf Grund des Abs. 2 erlassenen vollziehbaren Anordnung einer Meldeauflage, eines Betretungsverbots oder eines Aufenthaltsverbots zuwiderhandelt.</w:t>
      </w:r>
    </w:p>
    <w:p>
      <w:r>
        <w:rPr>
          <w:color w:val="555555"/>
          <w:sz w:val="17"/>
        </w:rPr>
        <w:t xml:space="preserve">Zitiervorschlag: Art 7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