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61 LStVG (Bayern) — Einstweilige Vorschriften über die Stillegung und Beseitigung von Anlagen und Geräten</w:t>
      </w:r>
    </w:p>
    <w:p>
      <w:r>
        <w:rPr>
          <w:color w:val="555555"/>
          <w:sz w:val="18"/>
        </w:rPr>
        <w:t xml:space="preserve">Landesstraf- und Verordnungsgesetz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Werden Anlagen oder Geräte unter Zuwiderhandlung gegen ein Gesetz, eine Verordnung oder eine Anordnung für den Einzelfall errichtet, aufgestellt, verändert, betrieben oder in einem ordnungswidrigen Zustand erhalten und verwirklicht die rechtswidrige Tat den Tatbestand eines Strafgesetzes oder einer Ordnungswidrigkeit, so können die kreisfreien Gemeinden und die Landratsämter die Vornahme notwendiger Sicherungs- oder Ausbesserungsarbeiten oder die Stillegung anordnen. Sie können auch die teilweise oder gänzliche Beseitigung der Anlage oder des Geräts anordnen, wenn Gefahr im Verzug oder ein dringendes öffentliches Interesse an einem sofortigen Vollzug besteht oder ein Straf- oder Bußgeldverfahren nicht durchgeführt werden kann. Liegen diese Voraussetzungen nicht vor, so kann die Beseitigung der Anlage oder des Geräts nur angeordnet werden, wenn die Zuwiderhandlung rechtskräftig festgestellt ist. Im Fall einer Genehmigungspflicht für die Anlage oder das Gerät darf die Beseitigung nach Satz 2 oder Satz 3 nur angeordnet werden, wenn die nachträgliche Genehmigung nach den Vorschriften des geltenden Rechts nicht erteilt werden kann.</w:t>
      </w:r>
    </w:p>
    <w:p>
      <w:r>
        <w:t xml:space="preserve">(2) Absatz 1 gilt nicht, soweit Rechtsvorschriften außerhalb dieses Gesetzes besondere Bestimmungen über die Stillegung und Beseitigung von Anlagen oder Geräten enthalten.</w:t>
      </w:r>
    </w:p>
    <w:p>
      <w:r>
        <w:rPr>
          <w:color w:val="555555"/>
          <w:sz w:val="17"/>
        </w:rPr>
        <w:t xml:space="preserve">Zitiervorschlag: Art 61 LStVG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https://recht.nulegal.eu/gesetze/LStVG/61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