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59 LStVG (Bayern) — Zuständigkeit zur Verfolgung und Ahndung von Ordnungswidrigkeiten nach § 112 des Gesetzes über Ordnungswidrigkeiten</w:t>
      </w:r>
    </w:p>
    <w:p>
      <w:r>
        <w:rPr>
          <w:color w:val="555555"/>
          <w:sz w:val="18"/>
        </w:rPr>
        <w:t xml:space="preserve">Landesstraf- und Verordnungsgesetz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Zuständige Verwaltungsbehörde für die Verfolgung und Ahndung von Ordnungswidrigkeiten nach § 112 OWiG ist bei Zuwiderhandlungen gegen Anordnungen des Landtags oder seines Präsidenten der Direktor des Landtagsamts.</w:t>
      </w:r>
    </w:p>
    <w:p>
      <w:r>
        <w:rPr>
          <w:color w:val="555555"/>
          <w:sz w:val="17"/>
        </w:rPr>
        <w:t xml:space="preserve">Zitiervorschlag: Art 59 LStVG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https://recht.nulegal.eu/gesetze/LStVG/59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