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LStVG (Bayern) — Amtliche Bekanntmachung</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amtliche Bekanntmachung von Verordnungen der Gemeinden, Landkreise, Landratsämter, Bezirke und Regierungen gelten die Vorschriften über die Bekanntmachung kommunaler Satzungen entsprechend.</w:t>
      </w:r>
    </w:p>
    <w:p>
      <w:r>
        <w:t xml:space="preserve">(2) Lassen sich die Grenzen des Geltungsbereichs einer Verordnung oder die Grenzen des Bereichs, in dem einzelne ihrer Vorschriften gelten, nicht hinreichend deutlich und anschaulich beschreiben oder durch Abdruck einer genauen Karte festlegen, so genügt es, wenn die Verordnung die Grenzen des Bereichs grob umschreibt und im übrigen auf Karten (Maßstab mindestens 1 : 25 000) oder Verzeichnisse Bezug nimmt. Diese Unterlagen müssen von der in der Verordnung bezeichneten Behörde archivmäßig verwahrt werden und allgemein zugänglich sein.</w:t>
      </w:r>
    </w:p>
    <w:p>
      <w:r>
        <w:t xml:space="preserve">(3) Ist es zur Verhütung erheblicher Gefahren für Leben, Gesundheit oder zum Schutz von Sachgütern erforderlich, eine Verordnung sofort bekanntzumachen und ist eine Bekanntmachung andernfalls nicht rechtzeitig möglich, so kann die Verordnung auch im Internet, in Rundfunk oder Medien oder durch geeignete Kommunikationsmittel wirksam bekannt gemacht werden. Der Wortlaut der Verordnung ist anschließend nachrichtlich im amtlichen Verkündungsorgan zu veröffentlichen, soweit er nicht bereits im Rahmen der Bekanntmachung nach Satz 1 öffentlich und dauerhaft gesichert nachlesbar ist.</w:t>
      </w:r>
    </w:p>
    <w:p>
      <w:r>
        <w:rPr>
          <w:color w:val="555555"/>
          <w:sz w:val="17"/>
        </w:rPr>
        <w:t xml:space="preserve">Zitiervorschlag: Art 51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