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45 LStVG (Bayern) — Rechtmäßigkeit und Angabe der Rechtsgrundlage</w:t>
      </w:r>
    </w:p>
    <w:p>
      <w:r>
        <w:rPr>
          <w:color w:val="555555"/>
          <w:sz w:val="18"/>
        </w:rPr>
        <w:t xml:space="preserve">Landesstraf- und Verordnungsgesetz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Verordnungen dürfen dem geltenden Recht, insbesondere den Gesetzen sowie den Verordnungen einer höheren Behörde oder Stelle, nicht widersprechen.</w:t>
      </w:r>
    </w:p>
    <w:p>
      <w:r>
        <w:t xml:space="preserve">(2) In jeder Verordnung soll ihre besondere Rechtsgrundlage angegeben werden.</w:t>
      </w:r>
    </w:p>
    <w:p>
      <w:r>
        <w:rPr>
          <w:color w:val="555555"/>
          <w:sz w:val="17"/>
        </w:rPr>
        <w:t xml:space="preserve">Zitiervorschlag: Art 45 LStVG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https://recht.nulegal.eu/gesetze/LStVG/45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