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LStVG (Bayern) — Vollzug der Verordnungen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nicht durch Rechtsvorschriften etwas anderes bestimmt ist, werden</w:t>
      </w:r>
    </w:p>
    <w:p>
      <w:r>
        <w:t xml:space="preserve">1. Verordnungen der Gemeinde durch die Gemeinde,</w:t>
      </w:r>
    </w:p>
    <w:p>
      <w:r>
        <w:t xml:space="preserve">2. Verordnungen der Landkreise durch den Landkreis oder, wenn die Verordnung das bestimmt, durch die Gemeinden oder diejenigen Gemeinden, denen die Aufgaben der unteren Bauaufsichtsbehörde übertragen sind,</w:t>
      </w:r>
    </w:p>
    <w:p>
      <w:r>
        <w:t xml:space="preserve">3. Verordnungen der Bezirke durch den Bezirk oder, wenn die Verordnung das bestimmt, durch die Landratsämter und kreisfreien Gemeinden oder diejenigen Gemeinden, denen die Aufgaben der unteren Bauaufsichtsbehörde übertragen sind,</w:t>
      </w:r>
    </w:p>
    <w:p>
      <w:r>
        <w:t xml:space="preserve">4. Verordnungen der Staatsministerien oder der Staatsregierung durch die Landratsämter und die kreisfreien Gemeinden oder, wenn die Verordnung das bestimmt, durch die Regierung oder die Gemeinden oder diejenigen Gemeinden, denen die Aufgaben der unteren Bauaufsichtsbehörde übertragen sind,</w:t>
      </w:r>
    </w:p>
    <w:p>
      <w:r>
        <w:t xml:space="preserve">vollzogen.</w:t>
      </w:r>
    </w:p>
    <w:p>
      <w:r>
        <w:rPr>
          <w:color w:val="555555"/>
          <w:sz w:val="17"/>
        </w:rPr>
        <w:t xml:space="preserve">Zitiervorschlag: Art 43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