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41 LStVG (Bayern) — Feldgefährdung</w:t>
      </w:r>
    </w:p>
    <w:p>
      <w:r>
        <w:rPr>
          <w:color w:val="555555"/>
          <w:sz w:val="18"/>
        </w:rPr>
        <w:t xml:space="preserve">Landesstraf- und Verordnungsgesetz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Mit Geldbuße kann belegt werden, wer das Eigentum anderer in Feld und Flur dadurch gefährdet, daß er</w:t>
      </w:r>
    </w:p>
    <w:p>
      <w:r>
        <w:t xml:space="preserve">1. Vieh oder Hausgeflügel außerhalb genügend umschlossener Grundstücke ohne ausreichende Aufsicht oder Sicherung läßt,</w:t>
      </w:r>
    </w:p>
    <w:p>
      <w:r>
        <w:t xml:space="preserve">2. Tauben, ausgenommen Brieftauben, zur Saat- oder Erntezeit nicht eingeschlossen hält,</w:t>
      </w:r>
    </w:p>
    <w:p>
      <w:r>
        <w:t xml:space="preserve">3. vor beendeter Ernte über bestellte Grundstücke Vieh treibt,</w:t>
      </w:r>
    </w:p>
    <w:p>
      <w:r>
        <w:t xml:space="preserve">4. fremde Grundstücke abgräbt oder abpflügt.</w:t>
      </w:r>
    </w:p>
    <w:p>
      <w:r>
        <w:t xml:space="preserve">(2) Die Gemeinden und Landkreise können die Saat- und Erntezeit durch Verordnung näher bestimmen.</w:t>
      </w:r>
    </w:p>
    <w:p>
      <w:r>
        <w:rPr>
          <w:color w:val="555555"/>
          <w:sz w:val="17"/>
        </w:rPr>
        <w:t xml:space="preserve">Zitiervorschlag: Art 41 LStVG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https://recht.nulegal.eu/gesetze/LStVG/41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