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39 LStVG (Bayern) — Feld und Flur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Feld und Flur im Sinn dieses Abschnitts sind</w:t>
      </w:r>
    </w:p>
    <w:p>
      <w:r>
        <w:t xml:space="preserve">1. alle Grundstücke außerhalb eines Forstes, die der Gewinnung von Feldfrüchten, Gartenfrüchten, Bäumen, Sträuchern oder anderen Bodenerzeugnissen dienen, insbesondere Äcker, Wiesen, Weiden, Gärten, Obstanlagen, Baumschulen und Weinberge,</w:t>
      </w:r>
    </w:p>
    <w:p>
      <w:r>
        <w:t xml:space="preserve">2. die Wege, Gräben und Böschungen, die mit den in Nummer 1 genannten Grundstücken räumlich zusammenhängen und ihrer Bewirtschaftung dienen,</w:t>
      </w:r>
    </w:p>
    <w:p>
      <w:r>
        <w:t xml:space="preserve">3. die Ödflächen.</w:t>
      </w:r>
    </w:p>
    <w:p>
      <w:r>
        <w:t xml:space="preserve">(2) Anpflanzungen in öffentlichen Anlagen und in Friedhöfen fallen nicht unter Absatz 1.</w:t>
      </w:r>
    </w:p>
    <w:p>
      <w:r>
        <w:rPr>
          <w:color w:val="555555"/>
          <w:sz w:val="17"/>
        </w:rPr>
        <w:t xml:space="preserve">Zitiervorschlag: Art 39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https://recht.nulegal.eu/gesetze/LStVG/39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