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LStVG (Bayern) — Halten gefährlicher Tiere</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 gefährliches Tier einer wildlebenden Art oder einen Kampfhund halten will, bedarf der Erlaubnis der Gemeinde, soweit das Bundesrecht nichts anderes vorschreibt. Kampfhunde sind Hunde, bei denen auf Grund rassespezifischer Merkmale, Zucht oder Ausbildung von einer gesteigerten Aggressivität und Gefährlichkeit gegenüber Menschen oder Tieren auszugehen ist; das Staatsministerium des Innern, für Sport und Integration kann durch Verordnung Rassen, Kreuzungen und sonstige Gruppen von Hunden bestimmen, für welche die Eigenschaft als Kampfhunde vermutet wird.</w:t>
      </w:r>
    </w:p>
    <w:p>
      <w:r>
        <w:t xml:space="preserve">(2) Die Erlaubnis darf nur erteilt werden, wenn der Antragsteller ein berechtigtes Interesse nachweist, gegen seine Zuverlässigkeit keine Bedenken bestehen und Gefahren für Leben, Gesundheit, Eigentum oder Besitz nicht entgegenstehen; ein berechtigtes Interesse zur Haltung von Hunden im Sinn des Absatzes 1 Satz 2 kann insbesondere vorliegen, wenn diese der Bewachung eines gefährdeten Besitztums dient. Die Erlaubnis kann vom Nachweis des Bestehens einer besonderen Haftpflichtversicherung abhängig gemacht werden. Versagungsgründe, die sich aus anderen Vorschriften ergeben, bleiben unberührt.</w:t>
      </w:r>
    </w:p>
    <w:p>
      <w:r>
        <w:t xml:space="preserve">(3) Die Erlaubnispflicht nach Absatz 1 Satz 1 gilt nicht für die Haltung von Diensthunden der Polizei, des Strafvollzugs, des Bundesgrenzschutzes und der Zollverwaltung.</w:t>
      </w:r>
    </w:p>
    <w:p>
      <w:r>
        <w:t xml:space="preserve">(4) Mit Geldbuße bis zu zehntausend Euro kann belegt werden, wer vorsätzlich oder fahrlässig</w:t>
      </w:r>
    </w:p>
    <w:p>
      <w:r>
        <w:t xml:space="preserve">1. ein gefährliches Tier einer wildlebenden Art oder einen Kampfhund ohne die erforderliche Erlaubnis hält oder</w:t>
      </w:r>
    </w:p>
    <w:p>
      <w:r>
        <w:t xml:space="preserve">2. die mit der Erlaubnis verbundenen vollziehbaren Auflagen nicht erfüllt.</w:t>
      </w:r>
    </w:p>
    <w:p>
      <w:r>
        <w:rPr>
          <w:color w:val="555555"/>
          <w:sz w:val="17"/>
        </w:rPr>
        <w:t xml:space="preserve">Zitiervorschlag: Art 37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