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LStVG (Bayern) — Überwachung</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der in Art. 31 Abs. 1 oder Art. 32 Abs. 1 Nrn. 1 bis 4 genannten Tätigkeiten ausübt, hat den Beauftragten der kreisfreien Gemeinden, der Landratsämter, der Gesundheitsämter, der Regierungen und des Staatsministeriums des Innern, für Sport und Integration und den von diesen zugezogenen Sachverständigen die Betriebsstätten, in denen die Tätigkeiten ausgeübt werden, zugänglich zu machen, Auskünfte zu erteilen und Unterlagen vorzulegen, verschlossene Behälter zu öffnen, Untersuchungen und gegen angemessene Entschädigung die Entnahme von Proben zu gestatten, ferner Arbeitskräfte und Hilfsmittel bereitzustellen, wenn das erforderlich ist, um den Vollzug der nach Art. 31 Abs. 1 oder Art. 32 Abs. 1 erlassenen Verordnungen zu überwachen. Der zur Auskunft Verpflichtete kann die Auskunft auf solche Fragen verweigern, deren Beantwortung ihn selbst oder einen der in § 383 Abs. 1 Nrn. 1 bis 3 der Zivilprozeßordnung bezeichneten Angehörigen der Gefahr strafgerichtlicher Verfolgung oder eines Verfahrens nach dem Gesetz über Ordnungswidrigkeiten aussetzen würde.</w:t>
      </w:r>
    </w:p>
    <w:p>
      <w:r>
        <w:t xml:space="preserve">(2) Wer einer Pflicht nach Absatz 1 zuwiderhandelt, kann mit Geldbuße belegt werden.</w:t>
      </w:r>
    </w:p>
    <w:p>
      <w:r>
        <w:rPr>
          <w:color w:val="555555"/>
          <w:sz w:val="17"/>
        </w:rPr>
        <w:t xml:space="preserve">Zitiervorschlag: Art 33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