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 LStVG (Bayern) — Gifte, Giftwaren, Arzneien</w:t>
      </w:r>
    </w:p>
    <w:p>
      <w:r>
        <w:rPr>
          <w:color w:val="555555"/>
          <w:sz w:val="18"/>
        </w:rPr>
        <w:t xml:space="preserve">Landesstraf- und Verordnungsgesetz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Verhütung von Gefahren für Leben oder Gesundheit kann das Staatsministerium des Innern, für Sport und Integration, soweit nicht bundesrechtliche Vorschriften bestehen, Verordnungen erlassen über</w:t>
      </w:r>
    </w:p>
    <w:p>
      <w:r>
        <w:t xml:space="preserve">1. die Erlaubnispflicht für das Zubereiten, Feilhalten, Verkaufen oder sonstige Überlassen von Giftwaren, insbesondere von Giften selbst,</w:t>
      </w:r>
    </w:p>
    <w:p>
      <w:r>
        <w:t xml:space="preserve">2. das Aufbewahren und Befördern von Giftwaren,</w:t>
      </w:r>
    </w:p>
    <w:p>
      <w:r>
        <w:t xml:space="preserve">3. die Erlaubnispflicht für das Zubereiten, Feilhalten, Verkaufen oder sonstige Überlassen von Arzneien sowie die Ausübung einer erteilten Erlaubnis zum Zubereiten oder Feilhalten von Arzneien.</w:t>
      </w:r>
    </w:p>
    <w:p>
      <w:r>
        <w:t xml:space="preserve">(2) Mit Geldbuße kann belegt werden, wer</w:t>
      </w:r>
    </w:p>
    <w:p>
      <w:r>
        <w:t xml:space="preserve">1. ohne die erforderliche Erlaubnis Gifte oder Giftwaren zubereitet, feilhält, verkauft oder sonst an andere überläßt oder</w:t>
      </w:r>
    </w:p>
    <w:p>
      <w:r>
        <w:t xml:space="preserve">2. einer auf Grund des Absatzes 1 erlassenen Verordnung über das Aufbewahren oder Befördern von Giftwaren oder über die Ausübung der Erlaubnis zum Zubereiten oder Feilhalten von Arzneien zuwiderhandelt.</w:t>
      </w:r>
    </w:p>
    <w:p>
      <w:r>
        <w:rPr>
          <w:color w:val="555555"/>
          <w:sz w:val="17"/>
        </w:rPr>
        <w:t xml:space="preserve">Zitiervorschlag: Art 31 LStVG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https://recht.nulegal.eu/gesetze/LStVG/31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