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LStVG (Bayern) — Ordnungswidrigkeiten</w:t>
      </w:r>
    </w:p>
    <w:p>
      <w:r>
        <w:rPr>
          <w:color w:val="555555"/>
          <w:sz w:val="18"/>
        </w:rPr>
        <w:t xml:space="preserve">Landesstraf- und Verordnungsgesetz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Ordnungswidrigkeiten des Landesrechts gilt das Gesetz über Ordnungswidrigkeiten (OWiG), soweit gesetzlich nichts anderes bestimmt ist.</w:t>
      </w:r>
    </w:p>
    <w:p>
      <w:r>
        <w:rPr>
          <w:color w:val="555555"/>
          <w:sz w:val="17"/>
        </w:rPr>
        <w:t xml:space="preserve">Zitiervorschlag: Art 3 LStVG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https://recht.nulegal.eu/gesetze/LStVG/3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