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LStVG (Bayern) — Öffentliche Anschläge</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Zum Schutz des Orts- und Landschaftsbilds oder eines Natur-, Kunst- oder Kulturdenkmals können die Gemeinden durch Verordnung Anschläge, insbesondere Plakate, und Darstellungen durch Bildwerfer in der Öffentlichkeit auf bestimmte Flächen beschränken. Dies gilt nicht für Werbeanlagen, die von der Bayerischen Bauordnung erfaßt werden.</w:t>
      </w:r>
    </w:p>
    <w:p>
      <w:r>
        <w:t xml:space="preserve">(2) Wer vorsätzlich oder fahrlässig einer auf Grund des Absatzes 1 erlassenen Verordnung zuwiderhandelt, kann mit Geldbuße belegt werden.</w:t>
      </w:r>
    </w:p>
    <w:p>
      <w:r>
        <w:t xml:space="preserve">(3) Die Gemeinde kann die Beseitigung von Anschlägen, insbesondere Plakaten, und von Darstellungen durch Bildwerfer in der Öffentlichkeit anordnen, wenn sie Rechtsgüter im Sinn des Absatzes 1 beeinträchtigen.</w:t>
      </w:r>
    </w:p>
    <w:p>
      <w:r>
        <w:rPr>
          <w:color w:val="555555"/>
          <w:sz w:val="17"/>
        </w:rPr>
        <w:t xml:space="preserve">Zitiervorschlag: Art 28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