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LStVG (Bayern) — Veranstaltung von Vergnügungen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öffentliche Vergnügung veranstalten will, hat das der Gemeinde unter Angabe der Art, des Orts und der Zeit der Veranstaltung und der Zahl der zuzulassenden Teilnehmer spätestens eine Woche vorher schriftlich oder elektronisch anzuzeigen. Für regelmäßig wiederkehrende, gleichartige öffentliche Vergnügungen genügt eine einmalige Anzeige.</w:t>
      </w:r>
    </w:p>
    <w:p>
      <w:r>
        <w:t xml:space="preserve">(2) Absatz 1 gilt nicht für Vergnügungen, die vorwiegend religiösen, künstlerischen, kulturellen, wissenschaftlichen, belehrenden oder erzieherischen Zwecken oder der Wirtschaftswerbung dienen, sofern die Vergnügungen in Räumen stattfinden, die für Veranstaltungen der beabsichtigten Art bestimmt sind.</w:t>
      </w:r>
    </w:p>
    <w:p>
      <w:r>
        <w:t xml:space="preserve">(3) Die Veranstaltung öffentlicher Vergnügungen bedarf der Erlaubnis, wenn</w:t>
      </w:r>
    </w:p>
    <w:p>
      <w:r>
        <w:t xml:space="preserve">1. die nach Absatz 1 erforderliche Anzeige nicht fristgemäß erstattet wird,</w:t>
      </w:r>
    </w:p>
    <w:p>
      <w:r>
        <w:t xml:space="preserve">2. es sich um eine motorsportliche Veranstaltung handelt oder</w:t>
      </w:r>
    </w:p>
    <w:p>
      <w:r>
        <w:t xml:space="preserve">3. zu einer Veranstaltung, die außerhalb dafür bestimmter Anlagen stattfinden soll, mehr als eintausend Besucher zugleich zugelassen werden sollen.</w:t>
      </w:r>
    </w:p>
    <w:p>
      <w:r>
        <w:t xml:space="preserve">Zuständig sind die Gemeinden, für motorsportliche Veranstaltungen die Kreisverwaltungsbehörden.</w:t>
      </w:r>
    </w:p>
    <w:p>
      <w:r>
        <w:t xml:space="preserve">(4) Die Erlaubnis nach Absatz 3 ist zu versagen, wenn es zur Verhütung von Gefahren für Leben, Gesundheit oder Sachgüter oder zum Schutz vor erheblichen Nachteilen oder erheblichen Belästigungen für die Allgemeinheit oder Nachbarschaft oder vor erheblichen Beeinträchtigungen der Natur oder Landschaft erforderlich erscheint. Das gleiche gilt, sofern andere öffentlich-rechtliche Vorschriften entgegenstehen.</w:t>
      </w:r>
    </w:p>
    <w:p>
      <w:r>
        <w:t xml:space="preserve">(5) Die Gemeinden, für motorsportliche Veranstaltungen die Kreisverwaltungsbehörden, können zum Schutz der in Absatz 4 Satz 1 bezeichneten Rechtsgüter Anordnungen für den Einzelfall für die Veranstaltung öffentlicher Vergnügungen und sonstiger Vergnügungen treffen. Reichen Anordnungen nach Satz 1 nicht aus oder stehen andere öffentlich-rechtliche Vorschriften entgegen, so kann die Veranstaltung untersagt werden.</w:t>
      </w:r>
    </w:p>
    <w:p>
      <w:r>
        <w:t xml:space="preserve">(6) Die Gemeinden können durch Verordnung</w:t>
      </w:r>
    </w:p>
    <w:p>
      <w:r>
        <w:t xml:space="preserve">1. die Veranstaltung von Vergnügungen bestimmter Art von der Anzeigepflicht nach Absatz 1 oder von der Erlaubnispflicht nach Absatz 3 ausnehmen, soweit die Gemeinden nach Absatz 3 Satz 2 zuständig sind und diese Pflichten zum Schutz der in Absatz 4 Satz 1 bezeichneten Rechtsgüter nicht erforderlich erscheinen,</w:t>
      </w:r>
    </w:p>
    <w:p>
      <w:r>
        <w:t xml:space="preserve">2. zum Schutz der in Absatz 4 Satz 1 bezeichneten Rechtsgüter die Anzeigepflicht nach Absatz 1 auf die Veranstaltung bestimmter Arten öffentlicher Vergnügungen im Sinn des Absatzes 2 erstrecken und Anforderungen an die Veranstaltung öffentlicher oder sonstiger Vergnügungen stellen,</w:t>
      </w:r>
    </w:p>
    <w:p>
      <w:r>
        <w:t xml:space="preserve">3. zum Schutz der in Absatz 4 Satz 1 bezeichneten Rechtsgüter eine Sperrzeit für die Veranstaltung öffentlicher Vergnügungen oder bestimmter Arten öffentlicher Vergnügungen festsetzen; in der Verordnung kann bestimmt werden, daß die Sperrzeit bei Vorliegen eines öffentlichen Bedürfnisses oder besonderer örtlicher Verhältnisse für den Einzelfall verlängert, verkürzt oder aufgehoben werden kann.</w:t>
      </w:r>
    </w:p>
    <w:p>
      <w:r>
        <w:t xml:space="preserve">Das Staatsministerium des Innern, für Sport und Integration kann durch Rechtsverordnung gleiches für das gesamte Staatsgebiet bestimmen.</w:t>
      </w:r>
    </w:p>
    <w:p>
      <w:r>
        <w:t xml:space="preserve">(7) Mit Geldbuße kann belegt werden, wer vorsätzlich oder fahrlässig</w:t>
      </w:r>
    </w:p>
    <w:p>
      <w:r>
        <w:t xml:space="preserve">1. eine öffentliche Vergnügung ohne die erforderliche Anzeige oder Erlaubnis veranstaltet,</w:t>
      </w:r>
    </w:p>
    <w:p>
      <w:r>
        <w:t xml:space="preserve">2. als Veranstalter einer Vergnügung die mit der Erlaubnis verbundenen vollziehbaren Auflagen nicht erfüllt oder einer vollziehbaren Anordnung nach Absatz 5 nicht Folge leistet oder</w:t>
      </w:r>
    </w:p>
    <w:p>
      <w:r>
        <w:t xml:space="preserve">3. einer Verordnung nach Abs. 6 Satz 1 Nr. 2 oder 3 zuwiderhandelt.</w:t>
      </w:r>
    </w:p>
    <w:p>
      <w:r>
        <w:rPr>
          <w:color w:val="555555"/>
          <w:sz w:val="17"/>
        </w:rPr>
        <w:t xml:space="preserve">Zitiervorschlag: Art 19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