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LStVG (Bayern) — Bekämpfung verwilderter Tauben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von Gefahren für das Eigentum und zum Schutz der öffentlichen Reinlichkeit können die Gemeinden Verordnungen über die Bekämpfung verwilderter Tauben erlassen. In den Verordnungen kann insbesondere bestimmt werden, daß</w:t>
      </w:r>
    </w:p>
    <w:p>
      <w:r>
        <w:t xml:space="preserve">1. das Füttern von verwilderten Tauben verboten ist,</w:t>
      </w:r>
    </w:p>
    <w:p>
      <w:r>
        <w:t xml:space="preserve">2. die Eigentümer von Grundstücken, die Nutzungsberechtigten und ihre Vertreter Maßnahmen der Gemeinde oder deren Beauftragter zur Beseitigung der Nistplätze und Vergrämung verwilderter Tauben zu dulden haben.</w:t>
      </w:r>
    </w:p>
    <w:p>
      <w:r>
        <w:t xml:space="preserve">(2) Mit Geldbuße kann belegt werden, wer vorsätzlich oder fahrlässig einer auf Grund des Absatzes 1 erlassenen Verordnung oder einer vollziehbaren Anordnung, die auf Grund einer solchen Verordnung getroffen wurde, zuwiderhandelt.</w:t>
      </w:r>
    </w:p>
    <w:p>
      <w:r>
        <w:rPr>
          <w:color w:val="555555"/>
          <w:sz w:val="17"/>
        </w:rPr>
        <w:t xml:space="preserve">Zitiervorschlag: Art 16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