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LStVG (Bayern) — Ehrenamtliche Veranstaltungen für das Gemeinwohl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Werden Veranstaltungen, die nach Landes- oder Ortsrecht anzuzeigen sind, ehrenamtlich für das Gemeinwohl durchgeführt, genügt für regelmäßig wiederkehrende, gleichartige Veranstaltungen eine einmalige Anzeige.</w:t>
      </w:r>
    </w:p>
    <w:p>
      <w:r>
        <w:t xml:space="preserve">(2) Wer ehrenamtlich für das Gemeinwohl wiederholt und ohne Beanstandungen Veranstaltungen durchgeführt hat, die nach Landes- oder Ortsrecht genehmigungspflichtig sind, kann künftige Veranstaltungen nach Maßgabe der bisherigen Genehmigung durchführen, wenn hierüber die jeweils zuständige Behörde rechtzeitig unterrichtet wird und diese nichts anderes bestimmt.</w:t>
      </w:r>
    </w:p>
    <w:p>
      <w:r>
        <w:t xml:space="preserve">(3) Anordnungen im Einzelfall nach diesem Gesetz oder anderen Rechtsvorschriften bleiben unberührt.</w:t>
      </w:r>
    </w:p>
    <w:p>
      <w:r>
        <w:rPr>
          <w:color w:val="555555"/>
          <w:sz w:val="17"/>
        </w:rPr>
        <w:t xml:space="preserve">Zitiervorschlag: Art 12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