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LStVG (Bayern) — Entschädigung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Maßnahmen auf Grund dieses Gesetzes getroffen werden, ist Art. 87 des Polizeiaufgabengesetzes sinngemäß anzuwenden. Zur Entschädigung verpflichtet ist der Träger der Behörde, die die Maßnahme getroffen hat; hat das Landratsamt die Maßnahme getroffen, so ist der Landkreis verpflichtet, soweit nicht der Staat nach Art. 35 Abs. 3 oder Art. 37 Abs. 5 der Landkreisordnung haftet.</w:t>
      </w:r>
    </w:p>
    <w:p>
      <w:r>
        <w:t xml:space="preserve">(2) Stellen Maßnahmen auf Grund dieses Gesetzes eine Enteignung dar, so ist nach den Vorschriften des Bayerischen Gesetzes über die entschädigungspflichtige Enteignung Entschädigung in Geld zu leisten.</w:t>
      </w:r>
    </w:p>
    <w:p>
      <w:r>
        <w:rPr>
          <w:color w:val="555555"/>
          <w:sz w:val="17"/>
        </w:rPr>
        <w:t xml:space="preserve">Zitiervorschlag: Art 11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