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LStVG (Bayern) — Einteilung der Tatbestände</w:t>
      </w:r>
    </w:p>
    <w:p>
      <w:r>
        <w:rPr>
          <w:color w:val="555555"/>
          <w:sz w:val="18"/>
        </w:rPr>
        <w:t xml:space="preserve">Landesstraf- und Verordnungsgesetz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im Landesrecht mit Freiheitsstrafe oder mit Geldstrafe bedrohten Handlungen sind Straftaten.</w:t>
      </w:r>
    </w:p>
    <w:p>
      <w:r>
        <w:t xml:space="preserve">(2) Die im Landesrecht mit Geldbuße bedrohten Handlungen sind Ordnungswidrigkeiten.</w:t>
      </w:r>
    </w:p>
    <w:p>
      <w:r>
        <w:rPr>
          <w:color w:val="555555"/>
          <w:sz w:val="17"/>
        </w:rPr>
        <w:t xml:space="preserve">Zitiervorschlag: Art 1 LStVG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https://recht.nulegal.eu/gesetze/LStVG/1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