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LStHVDV — Mitteilung über Eintragung und Löschung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das elektronische Verzeichnis führende Behörde hat dem Verein Eintragungen, die für das Tätigwerden einer Beratungsstelle Voraussetzung sind (§ 19 Absatz 3 des Steuerberatungsgesetzes), mitzuteilen. Hat der Verein seinen Sitz und seine Geschäftsleitung im Bezirk einer anderen Aufsichtsbehörde, so sind auch dieser Mitteilungen zu übersenden.</w:t>
      </w:r>
    </w:p>
    <w:p>
      <w:r>
        <w:t xml:space="preserve">(2) Wird der Verein im elektronischen Verzeichnis gelöscht, so ist dies allen Aufsichtsbehörden, in deren elektronischen Verzeichnissen Beratungsstellen des Vereins eingetragen sind, sowie dem zuständigen Registergericht mitzuteilen.</w:t>
      </w:r>
    </w:p>
    <w:p>
      <w:r>
        <w:rPr>
          <w:color w:val="555555"/>
          <w:sz w:val="17"/>
        </w:rPr>
        <w:t xml:space="preserve">Zitiervorschlag: § 8 LStHVDV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