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LStHVDV — Löschung</w:t>
      </w:r>
    </w:p>
    <w:p>
      <w:r>
        <w:rPr>
          <w:color w:val="555555"/>
          <w:sz w:val="18"/>
        </w:rPr>
        <w:t xml:space="preserve">Verordnung zur Durchführung der Vorschriften über die Lohnsteuerhilfevereine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Im elektronischen Verzeichnis der Lohnsteuerhilfevereine sind zu löschen</w:t>
      </w:r>
    </w:p>
    <w:p>
      <w:pPr>
        <w:ind w:left="420"/>
      </w:pPr>
      <w:r>
        <w:t xml:space="preserve">1. Lohnsteuerhilfevereine,</w:t>
      </w:r>
    </w:p>
    <w:p>
      <w:pPr>
        <w:ind w:left="780"/>
      </w:pPr>
      <w:r>
        <w:t xml:space="preserve">a) wenn die Anerkennung als Lohnsteuerhilfeverein erloschen oder unanfechtbar zurückgenommen oder widerrufen ist,</w:t>
      </w:r>
    </w:p>
    <w:p>
      <w:pPr>
        <w:ind w:left="780"/>
      </w:pPr>
      <w:r>
        <w:t xml:space="preserve">b) wenn der Sitz und die Geschäftsleitung aus dem Bezirk der Aufsichtsbehörde verlegt wird;</w:t>
      </w:r>
    </w:p>
    <w:p>
      <w:pPr>
        <w:ind w:left="420"/>
      </w:pPr>
      <w:r>
        <w:t xml:space="preserve">2. Beratungsstellen, wenn die Beratungsstelle geschlossen ist;</w:t>
      </w:r>
    </w:p>
    <w:p>
      <w:pPr>
        <w:ind w:left="420"/>
      </w:pPr>
      <w:r>
        <w:t xml:space="preserve">3. Beratungsstellen, wenn deren Sitz in den Bezirk einer anderen Aufsichtsbehörde verlegt wird.</w:t>
      </w:r>
    </w:p>
    <w:p>
      <w:r>
        <w:rPr>
          <w:color w:val="555555"/>
          <w:sz w:val="17"/>
        </w:rPr>
        <w:t xml:space="preserve">Zitiervorschlag: § 6 LStHVDV</w:t>
      </w:r>
    </w:p>
    <w:p>
      <w:r>
        <w:rPr>
          <w:color w:val="555555"/>
          <w:sz w:val="17"/>
        </w:rPr>
        <w:t xml:space="preserve">Quelle: Bundesamt für Justiz, abgerufen 01.09.2026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https://recht.nulegal.eu/gesetze/LStHVDV/6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