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LStHVDV — Bestellung eines Beratungsstellenleiters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Mitteilung über die Bestellung des Leiters einer Beratungsstelle (§ 23 Abs. 4 Nr. 2 des Gesetzes) muß die Anschrift der übernommenen Beratungsstelle sowie folgende Angaben über den Beratungsstellenleiter enthalten:</w:t>
      </w:r>
    </w:p>
    <w:p>
      <w:pPr>
        <w:ind w:left="420"/>
      </w:pPr>
      <w:r>
        <w:t xml:space="preserve">1. Name, Anschrift und Beruf,</w:t>
      </w:r>
    </w:p>
    <w:p>
      <w:pPr>
        <w:ind w:left="420"/>
      </w:pPr>
      <w:r>
        <w:t xml:space="preserve">2. ob und gegebenenfalls bei welchem Lohnsteuerhilfeverein er bereits früher Hilfe in Steuersachen im Rahmen der Befugnis nach § 4 Nr. 11 des Steuerberatungsgesetzes geleistet hat,</w:t>
      </w:r>
    </w:p>
    <w:p>
      <w:pPr>
        <w:ind w:left="420"/>
      </w:pPr>
      <w:r>
        <w:t xml:space="preserve">3. ob und gegebenenfalls welche andere Beratungsstelle eines Lohnsteuerhilfevereins er weiterhin leitet.</w:t>
      </w:r>
    </w:p>
    <w:p>
      <w:r>
        <w:t xml:space="preserve">(2) Der Mitteilung nach Absatz 1 sind beizufügen:</w:t>
      </w:r>
    </w:p>
    <w:p>
      <w:pPr>
        <w:ind w:left="420"/>
      </w:pPr>
      <w:r>
        <w:t xml:space="preserve">1. Bescheinigungen über die bisherige berufliche Tätigkeit, insbesondere mit Angaben über Art und Umfang der Tätigkeit, als Nachweis darüber, daß die Voraussetzungen des § 23 Abs. 3 Satz 1 des Gesetzes erfüllt sind,</w:t>
      </w:r>
    </w:p>
    <w:p>
      <w:pPr>
        <w:ind w:left="420"/>
      </w:pPr>
      <w:r>
        <w:t xml:space="preserve">2. eine Erklärung des Beratungsstellenleiters,</w:t>
      </w:r>
    </w:p>
    <w:p>
      <w:pPr>
        <w:ind w:left="780"/>
      </w:pPr>
      <w:r>
        <w:t xml:space="preserve">a) daß er sich in geordneten wirtschaftlichen Verhältnissen befindet,</w:t>
      </w:r>
    </w:p>
    <w:p>
      <w:pPr>
        <w:ind w:left="780"/>
      </w:pPr>
      <w:r>
        <w:t xml:space="preserve">b) ob er innerhalb der letzten zwölf Monate strafgerichtlich verurteilt worden ist und ob gegen ihn ein gerichtliches Strafverfahren oder ein Ermittlungsverfahren anhängig ist; entsprechendes gilt für berufsgerichtliche Verfahren sowie für Bußgeldverfahren nach der Abgabenordnung und dem Steuerberatungsgesetz,</w:t>
      </w:r>
    </w:p>
    <w:p>
      <w:pPr>
        <w:ind w:left="780"/>
      </w:pPr>
      <w:r>
        <w:t xml:space="preserve">c) daß er bei der Meldebehörde die Erteilung eines Führungszeugnisses zur Vorlage bei der zuständigen Behörde beantragt hat.</w:t>
      </w:r>
    </w:p>
    <w:p>
      <w:r>
        <w:rPr>
          <w:color w:val="555555"/>
          <w:sz w:val="17"/>
        </w:rPr>
        <w:t xml:space="preserve">Zitiervorschlag: § 4b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