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LStHVDV — Eröffnung und Verlegung einer Beratungsstelle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Mitteilung über die Eröffnung oder die Verlegung einer Beratungsstelle (§ 23 Absatz 4 Nummer 1 des Gesetzes) muss folgende Angaben enthalten:</w:t>
      </w:r>
    </w:p>
    <w:p>
      <w:pPr>
        <w:ind w:left="420"/>
      </w:pPr>
      <w:r>
        <w:t xml:space="preserve">1. die Anschrift der Beratungsstelle und im Fall ihrer Verlegung die bisherige und die neue Anschrift der Beratungsstelle,</w:t>
      </w:r>
    </w:p>
    <w:p>
      <w:pPr>
        <w:ind w:left="420"/>
      </w:pPr>
      <w:r>
        <w:t xml:space="preserve">2. ob und gegebenenfalls welche räumlichen, personellen und organisatorischen Verflechtungen mit anderen wirtschaftlichen Unternehmen bestehen.</w:t>
      </w:r>
    </w:p>
    <w:p>
      <w:r>
        <w:rPr>
          <w:color w:val="555555"/>
          <w:sz w:val="17"/>
        </w:rPr>
        <w:t xml:space="preserve">Zitiervorschlag: § 4a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