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LStHVDV — Ausschlüsse</w:t>
      </w:r>
    </w:p>
    <w:p>
      <w:r>
        <w:rPr>
          <w:color w:val="555555"/>
          <w:sz w:val="18"/>
        </w:rPr>
        <w:t xml:space="preserve">Verordnung zur Durchführung der Vorschriften über die Lohnsteuerhilfevereine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der Versicherung kann die Haftung ausgeschlossen werden für</w:t>
      </w:r>
    </w:p>
    <w:p>
      <w:pPr>
        <w:ind w:left="420"/>
      </w:pPr>
      <w:r>
        <w:t xml:space="preserve">1. Ersatzansprüche wegen wissentlicher Pflichtverletzung und</w:t>
      </w:r>
    </w:p>
    <w:p>
      <w:pPr>
        <w:ind w:left="420"/>
      </w:pPr>
      <w:r>
        <w:t xml:space="preserve">2. Ersatzansprüche wegen Schäden, die durch fehlerhafte Kassenführung, durch Verstöße beim Zahlungsakt oder durch Veruntreuung durch das Personal des Versicherungsnehmers entstehen.</w:t>
      </w:r>
    </w:p>
    <w:p>
      <w:r>
        <w:rPr>
          <w:color w:val="555555"/>
          <w:sz w:val="17"/>
        </w:rPr>
        <w:t xml:space="preserve">Zitiervorschlag: § 12 LStHVDV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https://recht.nulegal.eu/gesetze/LStHVDV/12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