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LStHVDV — Sonstige Inhalte des Versicherungsvertrags</w:t>
      </w:r>
    </w:p>
    <w:p>
      <w:r>
        <w:rPr>
          <w:color w:val="555555"/>
          <w:sz w:val="18"/>
        </w:rPr>
        <w:t xml:space="preserve">Verordnung zur Durchführung der Vorschriften über die Lohnsteuerhilfevereine</w:t>
      </w:r>
    </w:p>
    <w:p>
      <w:r>
        <w:rPr>
          <w:color w:val="555555"/>
          <w:sz w:val="18"/>
        </w:rPr>
        <w:t xml:space="preserve">Stand: 01.09.2026 (konsolidierte Textfassung, kein amtliches Inkrafttretensdatum)</w:t>
      </w:r>
    </w:p>
    <w:p>
      <w:r>
        <w:t xml:space="preserve">(1) Der Versicherungsvertrag muss vorsehen, dass Versicherungsschutz für jede einzelne, während der Geltung des Versicherungsvertrags begangene Pflichtverletzung besteht, die gesetzliche Haftpflichtansprüche privatrechtlichen Inhalts zur Folge haben könnte.</w:t>
      </w:r>
    </w:p>
    <w:p>
      <w:r>
        <w:t xml:space="preserve">(2) Im Versicherungsvertrag ist der Versicherer zu verpflichten, der zuständigen Aufsichtsbehörde den Beginn und die Beendigung oder Kündigung des Versicherungsvertrags sowie jede Änderung des Versicherungsvertrags, die den vorgeschriebenen Versicherungsschutz beeinträchtigt, unverzüglich mitzuteilen. Die Aufsichtsbehörde (§ 27 Absatz 1 des Steuerberatungsgesetzes) erteilt Dritten zur Geltendmachung von Schadensersatzansprüchen auf Antrag Auskunft über den Namen und die Adresse der Berufshaftpflichtversicherung des Lohnsteuerhilfevereins sowie die Versicherungsnummer, soweit der Lohnsteuerhilfeverein kein überwiegendes schutzwürdiges Interesse an der Nichterteilung der Auskunft hat.</w:t>
      </w:r>
    </w:p>
    <w:p>
      <w:r>
        <w:t xml:space="preserve">(3) Der Versicherungsvertrag kann vorsehen, dass die Versicherungssumme den Höchstbetrag der dem Versicherer in jedem einzelnen Schadensfall obliegenden Leistung darstellt, und zwar mit der Maßgabe, dass nur eine einmalige Leistung der Versicherungssumme in Frage kommt</w:t>
      </w:r>
    </w:p>
    <w:p>
      <w:pPr>
        <w:ind w:left="420"/>
      </w:pPr>
      <w:r>
        <w:t xml:space="preserve">1. gegenüber mehreren entschädigungspflichtigen Personen, auf welche sich der Versicherungsschutz erstreckt,</w:t>
      </w:r>
    </w:p>
    <w:p>
      <w:pPr>
        <w:ind w:left="420"/>
      </w:pPr>
      <w:r>
        <w:t xml:space="preserve">2. bezüglich eines aus mehreren Verstößen stammenden einheitlichen Schadens,</w:t>
      </w:r>
    </w:p>
    <w:p>
      <w:pPr>
        <w:ind w:left="420"/>
      </w:pPr>
      <w:r>
        <w:t xml:space="preserve">3. bezüglich sämtlicher Folgen eines Verstoßes. Dabei gilt mehrfaches, auf gleicher oder gleichartiger Fehlerquelle beruhendes Tun oder Unterlassen als einheitlicher Verstoß, wenn die betreffenden Angelegenheiten miteinander in rechtlichem oder wirtschaftlichem Zusammenhang stehen. In diesem Fall kann die Leistung des Versicherers auf das Fünffache der Mindestversicherungssumme begrenzt werden.</w:t>
      </w:r>
    </w:p>
    <w:p>
      <w:r>
        <w:rPr>
          <w:color w:val="555555"/>
          <w:sz w:val="17"/>
        </w:rPr>
        <w:t xml:space="preserve">Zitiervorschlag: § 11 LStHVDV</w:t>
      </w:r>
    </w:p>
    <w:p>
      <w:r>
        <w:rPr>
          <w:color w:val="555555"/>
          <w:sz w:val="17"/>
        </w:rPr>
        <w:t xml:space="preserve">Quelle: Bundesamt für Justiz, abgerufen 01.09.2026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https://recht.nulegal.eu/gesetze/LStHVDV/11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