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LStDV — Anwendungszeitraum</w:t>
      </w:r>
    </w:p>
    <w:p>
      <w:r>
        <w:rPr>
          <w:color w:val="555555"/>
          <w:sz w:val="18"/>
        </w:rPr>
        <w:t xml:space="preserve">Lohnsteuer-Durchführungsverordnung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Die Vorschriften dieser Verordnung in der Fassung des Artikels 2 des Gesetzes vom 13. Dezember 2006 (BGBl. I S. 2878) sind erstmals anzuwenden auf laufenden Arbeitslohn, der für einen nach dem 31. Dezember 2006 endenden Lohnzahlungszeitraum gezahlt wird, und auf sonstige Bezüge, die nach dem 31. Dezember 2006 zufließen.</w:t>
      </w:r>
    </w:p>
    <w:p>
      <w:r>
        <w:t xml:space="preserve">(2) § 6 Abs. 3 und 4 sowie § 7 in der am 31. Dezember 2001 geltenden Fassung sind weiter anzuwenden im Falle einer schädlichen Verfügung vor dem 1. Januar 2002. Die Nachversteuerung nach § 7 Abs. 1 Satz 1 unterbleibt, wenn der nachzufordernde Betrag 10 Euro nicht übersteigt.</w:t>
      </w:r>
    </w:p>
    <w:p>
      <w:r>
        <w:t xml:space="preserve">(3) § 4 Absatz 2a in der am 31. Dezember 2024 geltenden Fassung ist für die ab 1. Januar 2018 bis 31. Dezember 2026 im Lohnkonto aufzuzeichnenden Daten anzuwenden. § 4 Absatz 2a in der am 30. Dezember 2025 geltenden Fassung ist für die ab dem 1. Januar 2027 im Lohnkonto aufzuzeichnenden Daten anzuwenden.</w:t>
      </w:r>
    </w:p>
    <w:p>
      <w:r>
        <w:rPr>
          <w:color w:val="555555"/>
          <w:sz w:val="17"/>
        </w:rPr>
        <w:t xml:space="preserve">Zitiervorschlag: § 8 LStDV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https://recht.nulegal.eu/gesetze/LStDV/8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