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LStDV — Besondere Aufzeichnungs- und Mitteilungspflichten im Rahmen der betrieblichen Altersversorgung</w:t>
      </w:r>
    </w:p>
    <w:p>
      <w:r>
        <w:rPr>
          <w:color w:val="555555"/>
          <w:sz w:val="18"/>
        </w:rPr>
        <w:t xml:space="preserve">Lohnsteuer-Durchführungsverordnung</w:t>
      </w:r>
    </w:p>
    <w:p>
      <w:r>
        <w:rPr>
          <w:color w:val="555555"/>
          <w:sz w:val="18"/>
        </w:rPr>
        <w:t xml:space="preserve">Stand: 10.06.2019 (konsolidierte Textfassung, kein amtliches Inkrafttretensdatum)</w:t>
      </w:r>
    </w:p>
    <w:p>
      <w:r>
        <w:t xml:space="preserve">(1) Der Arbeitgeber hat bei der Durchführung einer kapitalgedeckten betrieblichen Altersversorgung über eine Pensionskasse oder eine Direktversicherung im Fall des § 52 Absatz 40 des Einkommensteuergesetzes aufzuzeichnen, dass vor dem 1. Januar 2018 mindestens ein Beitrag nach § 40b Absatz 1 und 2 des Einkommensteuergesetzes in einer vor dem 1. Januar 2005 geltenden Fassung pauschal besteuert wurde.</w:t>
      </w:r>
    </w:p>
    <w:p>
      <w:r>
        <w:t xml:space="preserve">(2) Der Arbeitgeber hat der Versorgungseinrichtung (Pensionsfonds, Pensionskasse, Direktversicherung), die für ihn die betriebliche Altersversorgung durchführt, spätestens zwei Monate nach Ablauf des Kalenderjahres oder nach Beendigung des Dienstverhältnisses im Laufe des Kalenderjahres die für den einzelnen Arbeitnehmer geleisteten und</w:t>
      </w:r>
    </w:p>
    <w:p>
      <w:pPr>
        <w:ind w:left="420"/>
      </w:pPr>
      <w:r>
        <w:t xml:space="preserve">1. nach § 3 Nummer 56 und 63 sowie nach § 100 Absatz 6 Satz 1 des Einkommensteuergesetzes steuerfrei belassenen,</w:t>
      </w:r>
    </w:p>
    <w:p>
      <w:pPr>
        <w:ind w:left="420"/>
      </w:pPr>
      <w:r>
        <w:t xml:space="preserve">2. nach § 40b des Einkommensteuergesetzes in der am 31. Dezember 2004 geltenden Fassung pauschal besteuerten oder</w:t>
      </w:r>
    </w:p>
    <w:p>
      <w:pPr>
        <w:ind w:left="420"/>
      </w:pPr>
      <w:r>
        <w:t xml:space="preserve">3. individuell besteuerten</w:t>
      </w:r>
    </w:p>
    <w:p>
      <w:r>
        <w:t xml:space="preserve">Beiträge mitzuteilen. Ferner hat der Arbeitgeber oder die Unterstützungskasse die nach § 3 Nr. 66 des Einkommensteuergesetzes steuerfrei belassenen Leistungen mitzuteilen. Die Mitteilungspflicht des Arbeitgebers oder der Unterstützungskasse kann durch einen Auftragnehmer wahrgenommen werden.</w:t>
      </w:r>
    </w:p>
    <w:p>
      <w:r>
        <w:t xml:space="preserve">(3) Eine Mitteilung nach Absatz 2 kann unterbleiben, wenn die Versorgungseinrichtung die steuerliche Behandlung der für den einzelnen Arbeitnehmer im Kalenderjahr geleisteten Beiträge bereits kennt oder aus den bei ihr vorhandenen Daten feststellen kann, und dieser Umstand dem Arbeitgeber mitgeteilt worden ist. Unterbleibt die Mitteilung des Arbeitgebers, ohne dass ihm eine entsprechende Mitteilung der Versorgungseinrichtung vorliegt, so hat die Versorgungseinrichtung davon auszugehen, dass es sich insgesamt bis zu den in § 3 Nr. 56 oder 63 des Einkommensteuergesetzes genannten Höchstbeträgen um steuerbegünstigte Beiträge handelt, die in der Auszahlungsphase als Leistungen im Sinne von § 22 Nr. 5 Satz 1 des Einkommensteuergesetzes zu besteuern sind.</w:t>
      </w:r>
    </w:p>
    <w:p>
      <w:r>
        <w:rPr>
          <w:color w:val="555555"/>
          <w:sz w:val="17"/>
        </w:rPr>
        <w:t xml:space="preserve">Zitiervorschlag: § 5 LStDV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https://recht.nulegal.eu/gesetze/LStDV/5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