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LStDV — Lohnkonto</w:t>
      </w:r>
    </w:p>
    <w:p>
      <w:r>
        <w:rPr>
          <w:color w:val="555555"/>
          <w:sz w:val="18"/>
        </w:rPr>
        <w:t xml:space="preserve">Lohnsteuer-Durchführungsverordnung</w:t>
      </w:r>
    </w:p>
    <w:p>
      <w:r>
        <w:rPr>
          <w:color w:val="555555"/>
          <w:sz w:val="18"/>
        </w:rPr>
        <w:t xml:space="preserve">Stand: 31.12.2025 (konsolidierte Textfassung, kein amtliches Inkrafttretensdatum)</w:t>
      </w:r>
    </w:p>
    <w:p>
      <w:r>
        <w:t xml:space="preserve">(1) Der Arbeitgeber hat im Lohnkonto des Arbeitnehmers Folgendes aufzuzeichnen:</w:t>
      </w:r>
    </w:p>
    <w:p>
      <w:pPr>
        <w:ind w:left="420"/>
      </w:pPr>
      <w:r>
        <w:t xml:space="preserve">1. den Vornamen, den Familiennamen, den Tag der Geburt, den Wohnort, die Wohnung sowie die in einer vom Finanzamt ausgestellten Bescheinigung für den Lohnsteuerabzug eingetragenen allgemeinen Besteuerungsmerkmale. Ändern sich im Laufe des Jahres die in einer Bescheinigung für den Lohnsteuerabzug eingetragenen allgemeinen Besteuerungsmerkmale, so ist auch der Zeitpunkt anzugeben, von dem an die Änderungen gelten;</w:t>
      </w:r>
    </w:p>
    <w:p>
      <w:pPr>
        <w:ind w:left="420"/>
      </w:pPr>
      <w:r>
        <w:t xml:space="preserve">2. den Jahresfreibetrag oder den Jahreshinzurechnungsbetrag sowie den Monatsbetrag, Wochenbetrag oder Tagesbetrag, der in einer vom Finanzamt ausgestellten Bescheinigung für den Lohnsteuerabzug eingetragen ist, und den Zeitraum, für den die Eintragungen gelten;</w:t>
      </w:r>
    </w:p>
    <w:p>
      <w:pPr>
        <w:ind w:left="420"/>
      </w:pPr>
      <w:r>
        <w:t xml:space="preserve">3. bei einem Arbeitnehmer, der dem Arbeitgeber eine Bescheinigung nach § 39b Abs. 6 des Einkommensteuergesetzes in der am 31. Dezember 2010 geltenden Fassung (Freistellungsbescheinigung) vorgelegt hat, einen Hinweis darauf, daß eine Bescheinigung vorliegt, den Zeitraum, für den die Lohnsteuerbefreiung gilt, das Finanzamt, das die Bescheinigung ausgestellt hat, und den Tag der Ausstellung;</w:t>
      </w:r>
    </w:p>
    <w:p>
      <w:pPr>
        <w:ind w:left="420"/>
      </w:pPr>
      <w:r>
        <w:t xml:space="preserve">4. in den Fällen des § 19 Abs. 2 des Einkommensteuergesetzes die für die zutreffende Berechnung des Versorgungsfreibetrags und des Zuschlags zum Versorgungsfreibetrag erforderlichen Angaben.</w:t>
      </w:r>
    </w:p>
    <w:p>
      <w:r>
        <w:t xml:space="preserve">(2) Bei jeder Lohnabrechnung ist im Lohnkonto folgendes aufzuzeichnen:</w:t>
      </w:r>
    </w:p>
    <w:p>
      <w:pPr>
        <w:ind w:left="420"/>
      </w:pPr>
      <w:r>
        <w:t xml:space="preserve">1. der Tag der Lohnzahlung und der Lohnzahlungszeitraum;</w:t>
      </w:r>
    </w:p>
    <w:p>
      <w:pPr>
        <w:ind w:left="420"/>
      </w:pPr>
      <w:r>
        <w:t xml:space="preserve">2. in den Fällen des § 41 Absatz 1 Satz 5 des Einkommensteuergesetzes jeweils der Großbuchstabe U;</w:t>
      </w:r>
    </w:p>
    <w:p>
      <w:pPr>
        <w:ind w:left="420"/>
      </w:pPr>
      <w:r>
        <w:t xml:space="preserve">3. der Arbeitslohn, getrennt nach Barlohn und Sachbezügen, und die davon einbehaltene Lohnsteuer. Dabei sind die Sachbezüge einzeln zu bezeichnen und - unter Angabe des Abgabetags oder bei laufenden Sachbezügen des Abgabezeitraums, des Abgabeorts und des Entgelts - mit dem nach § 8 Abs. 2 oder 3 des Einkommensteuergesetzes maßgebenden und um das Entgelt geminderten Wert zu erfassen. Sachbezüge im Sinne des § 8 Abs. 3 des Einkommensteuergesetzes und Versorgungsbezüge sind jeweils als solche kenntlich zu machen und ohne Kürzung um Freibeträge nach § 8 Abs. 3 oder § 19 Abs. 2 des Einkommensteuergesetzes einzutragen. Trägt der Arbeitgeber im Falle der Nettolohnzahlung die auf den Arbeitslohn entfallende Steuer selbst, ist in jedem Fall der Bruttoarbeitslohn einzutragen, die nach den Nummern 4 bis 8 gesondert aufzuzeichnenden Beträge sind nicht mitzuzählen;</w:t>
      </w:r>
    </w:p>
    <w:p>
      <w:pPr>
        <w:ind w:left="420"/>
      </w:pPr>
      <w:r>
        <w:t xml:space="preserve">4. steuerfreie Bezüge mit Ausnahme der Vorteile im Sinne des § 3 Nummer 37, 45, 46 und 51 des Einkommensteuergesetzes. Das Betriebsstättenfinanzamt kann zulassen, daß auch andere nach § 3 des Einkommensteuergesetzes steuerfreie Bezüge nicht angegeben werden, wenn es sich um Fälle von geringer Bedeutung handelt oder wenn die Möglichkeit zur Nachprüfung in anderer Weise sichergestellt ist;</w:t>
      </w:r>
    </w:p>
    <w:p>
      <w:pPr>
        <w:ind w:left="420"/>
      </w:pPr>
      <w:r>
        <w:t xml:space="preserve">5. Bezüge, die nach einem Abkommen zur Vermeidung der Doppelbesteuerung oder unter Progressionsvorbehalt nach § 34c Abs. 5 des Einkommensteuergesetzes von der Lohnsteuer freigestellt sind;</w:t>
      </w:r>
    </w:p>
    <w:p>
      <w:pPr>
        <w:ind w:left="420"/>
      </w:pPr>
      <w:r>
        <w:t xml:space="preserve">6. außerordentliche Einkünfte im Sinne des § 34 Abs. 1 und 2 Nr. 2 und 4 des Einkommensteuergesetzes und die davon nach § 39b Abs. 3 Satz 9 des Einkommensteuergesetzes einbehaltene Lohnsteuer;</w:t>
      </w:r>
    </w:p>
    <w:p>
      <w:pPr>
        <w:ind w:left="420"/>
      </w:pPr>
      <w:r>
        <w:t xml:space="preserve">7. das Vorliegen der Voraussetzungen für den Förderbetrag nach § 100 des Einkommensteuergesetzes;</w:t>
      </w:r>
    </w:p>
    <w:p>
      <w:pPr>
        <w:ind w:left="420"/>
      </w:pPr>
      <w:r>
        <w:t xml:space="preserve">8. Bezüge, die nach den §§ 40 bis 40b des Einkommensteuergesetzes pauschal besteuert worden sind, und die darauf entfallende Lohnsteuer. Lassen sich in den Fällen des § 40 Absatz 1 Satz 1 Nummer 2 und Absatz 2 des Einkommensteuergesetzes die auf den einzelnen Arbeitnehmer entfallenden Beträge nicht ohne weiteres ermitteln, so sind sie in einem Sammelkonto anzuschreiben. Das Sammelkonto muß die folgenden Angaben enthalten: Tag der Zahlung, Zahl der bedachten Arbeitnehmer, Summe der insgesamt gezahlten Bezüge, Höhe der Lohnsteuer sowie Hinweise auf die als Belege zum Sammelkonto aufzubewahrenden Unterlagen, insbesondere Zahlungsnachweise, Bestätigung des Finanzamts über die Zulassung der Lohnsteuerpauschalierung. In den Fällen des § 40a des Einkommensteuergesetzes genügt es, wenn der Arbeitgeber Aufzeichnungen führt, aus denen sich für die einzelnen Arbeitnehmer Name und Anschrift, Dauer der Beschäftigung, Tag der Zahlung, Höhe des Arbeitslohns und in den Fällen des § 40a Abs. 3 des Einkommensteuergesetzes auch die Art der Beschäftigung ergeben. Sind in den Fällen der Sätze 3 und 4 Bezüge nicht mit dem ermäßigten Kirchensteuersatz besteuert worden, so ist zusätzlich der fehlende Kirchensteuerabzug aufzuzeichnen und auf die als Beleg aufzubewahrende Unterlage hinzuweisen, aus der hervorgeht, daß der Arbeitnehmer keiner Religionsgemeinschaft angehört, für die die Kirchensteuer von den Finanzbehörden erhoben wird.</w:t>
      </w:r>
    </w:p>
    <w:p>
      <w:r>
        <w:t xml:space="preserve">(2a) Der Arbeitgeber hat die nach den Absätzen 1 und 2, die nach § 41 des Einkommensteuergesetzes aufzuzeichnenden Daten sowie die hierfür mittels Vor- und Nebensystemen ermittelten und verwendeten Daten der Finanzbehörde nach einer amtlich vorgeschriebenen einheitlichen Form über eine digitale Schnittstelle elektronisch bereitzustellen. Die Übermittlung der Daten für dieselbe Betriebsstätte hat zusammengefasst in einem Datenbestand je Haupt-, Vor- und Nebensystem zu erfolgen. Auf Antrag des Arbeitgebers kann das Betriebsstättenfinanzamt zur Vermeidung unbilliger Härten zulassen, dass der Arbeitgeber die Daten in anderer auswertbarer Form bereitstellt.</w:t>
      </w:r>
    </w:p>
    <w:p>
      <w:r>
        <w:t xml:space="preserve">(3) Das Betriebsstättenfinanzamt kann bei Arbeitgebern, die für die Lohnabrechnung ein maschinelles Verfahren anwenden, Ausnahmen von den Vorschriften der Absätze 1 und 2 zulassen, wenn die Möglichkeit zur Nachprüfung in anderer Weise sichergestellt ist. Das Betriebsstättenfinanzamt soll zulassen, daß Sachbezüge im Sinne des § 8 Absatz 2 Satz 11 und Absatz 3 des Einkommensteuergesetzes für solche Arbeitnehmer nicht aufzuzeichnen sind, für die durch betriebliche Regelungen und entsprechende Überwachungsmaßnahmen gewährleistet ist, daß die in § 8 Absatz 2 Satz 11 oder Absatz 3 des Einkommensteuergesetzes genannten Beträge nicht überschritten werden.</w:t>
      </w:r>
    </w:p>
    <w:p>
      <w:r>
        <w:t xml:space="preserve">(4) In den Fällen des § 38 Abs. 3a des Einkommensteuergesetzes ist ein Lohnkonto vom Dritten zu führen. In den Fällen des § 38 Abs. 3a Satz 2 ist der Arbeitgeber anzugeben und auch der Arbeitslohn einzutragen, der nicht vom Dritten, sondern vom Arbeitgeber selbst gezahlt wird. In den Fällen des § 38 Abs. 3a Satz 7 ist der Arbeitslohn für jedes Dienstverhältnis gesondert aufzuzeichnen.</w:t>
      </w:r>
    </w:p>
    <w:p>
      <w:r>
        <w:rPr>
          <w:color w:val="555555"/>
          <w:sz w:val="17"/>
        </w:rPr>
        <w:t xml:space="preserve">Zitiervorschlag: § 4 LStDV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