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LSpV — Inkrafttreten</w:t>
      </w:r>
    </w:p>
    <w:p>
      <w:r>
        <w:rPr>
          <w:color w:val="555555"/>
          <w:sz w:val="18"/>
        </w:rPr>
        <w:t xml:space="preserve">Lebensmittelspezialitätenverordnung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LSpV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