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LSpG — Bußgeldvorschriften</w:t>
      </w:r>
    </w:p>
    <w:p>
      <w:r>
        <w:rPr>
          <w:color w:val="555555"/>
          <w:sz w:val="18"/>
        </w:rPr>
        <w:t xml:space="preserve">Lebensmittelspezialitätengesetz</w:t>
      </w:r>
    </w:p>
    <w:p>
      <w:r>
        <w:rPr>
          <w:color w:val="555555"/>
          <w:sz w:val="18"/>
        </w:rPr>
        <w:t xml:space="preserve">Historische Fassung: Stand 28.06.2024 bis 16.01.2026. Dies ist nicht die aktuelle Fassung.</w:t>
      </w:r>
    </w:p>
    <w:p>
      <w:r>
        <w:t xml:space="preserve">(1) Ordnungswidrig handelt, wer eine der in § 7 Abs. 1 bezeichneten Handlungen fahrlässig begeht.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4 Abs. 3, auch in Verbindung mit Abs. 4,</w:t>
      </w:r>
    </w:p>
    <w:p>
      <w:pPr>
        <w:ind w:left="780"/>
      </w:pPr>
      <w:r>
        <w:t xml:space="preserve">a) das Betreten von Geschäftsräumen, Grundstücken, Verkaufseinrichtungen oder Transportmitteln oder deren Besichtigung nicht gestattet,</w:t>
      </w:r>
    </w:p>
    <w:p>
      <w:pPr>
        <w:ind w:left="780"/>
      </w:pPr>
      <w:r>
        <w:t xml:space="preserve">b) die zu besichtigenden Agrarerzeugnisse oder Lebensmittel nicht so darlegt, daß die Besichtigung ordnungsgemäß vorgenommen werden kann,</w:t>
      </w:r>
    </w:p>
    <w:p>
      <w:pPr>
        <w:ind w:left="780"/>
      </w:pPr>
      <w:r>
        <w:t xml:space="preserve">c) die erforderliche Hilfe bei der Besichtigung nicht leistet,</w:t>
      </w:r>
    </w:p>
    <w:p>
      <w:pPr>
        <w:ind w:left="780"/>
      </w:pPr>
      <w:r>
        <w:t xml:space="preserve">d) Proben nicht entnehmen läßt,</w:t>
      </w:r>
    </w:p>
    <w:p>
      <w:pPr>
        <w:ind w:left="780"/>
      </w:pPr>
      <w:r>
        <w:t xml:space="preserve">e) geschäftliche Unterlagen nicht oder nicht vollständig vorlegt oder nicht prüfen läßt oder</w:t>
      </w:r>
    </w:p>
    <w:p>
      <w:pPr>
        <w:ind w:left="780"/>
      </w:pPr>
      <w:r>
        <w:t xml:space="preserve">f) eine Auskunft nicht, nicht richtig oder nicht vollständig erteilt,</w:t>
      </w:r>
    </w:p>
    <w:p>
      <w:pPr>
        <w:ind w:left="420"/>
      </w:pPr>
      <w:r>
        <w:t xml:space="preserve">2. einer nach § 2 Abs. 2 oder § 4 Abs. 6 erlassenen Rechtsverordnung zuwiderhandelt, soweit sie für einen bestimmten Tatbestand auf diese Bußgeldvorschrift verweist.</w:t>
      </w:r>
    </w:p>
    <w:p>
      <w:r>
        <w:t xml:space="preserve">(2a) Ordnungswidrig handelt, wer vorsätzlich oder fahrlässig ein Erzeugnis als „garantiert traditionelle Spezialität“ in Verkehr bringt, ohne dass vor der erstmaligen Vermarktung eine Kontrolle nach Artikel 72 Absatz 6 der Verordnung (EU) 2024/1143 des Europäischen Parlaments und des Rates vom 21. November 2012 über Qualitätsregelungen für Agrarerzeugnisse und Lebensmittel (ABl. L 343 vom 14.12.2012, S. 1) durchgeführt wurde.</w:t>
      </w:r>
    </w:p>
    <w:p>
      <w:r>
        <w:t xml:space="preserve">(3) Die Ordnungswidrigkeit kann in Fällen des Absatzes 1 mit einer Geldbuße bis zu fünfundzwanzigtausend Euro und in den Fällen der Absätze 2 und 2a mit einer Geldbuße bis zu zehntausend Euro geahndet werden.</w:t>
      </w:r>
    </w:p>
    <w:p>
      <w:r>
        <w:rPr>
          <w:color w:val="555555"/>
          <w:sz w:val="17"/>
        </w:rPr>
        <w:t xml:space="preserve">Zitiervorschlag: § 8 LSpG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