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LSpG — Strafvorschriften</w:t>
      </w:r>
    </w:p>
    <w:p>
      <w:r>
        <w:rPr>
          <w:color w:val="555555"/>
          <w:sz w:val="18"/>
        </w:rPr>
        <w:t xml:space="preserve">Lebensmittelspezialitätengesetz</w:t>
      </w:r>
    </w:p>
    <w:p>
      <w:r>
        <w:rPr>
          <w:color w:val="555555"/>
          <w:sz w:val="18"/>
        </w:rPr>
        <w:t xml:space="preserve">Historische Fassung: Stand 10.06.2019 bis 16.01.2026. Dies ist nicht die aktuelle Fassung.</w:t>
      </w:r>
    </w:p>
    <w:p>
      <w:r>
        <w:t xml:space="preserve">(1) Mit Freiheitsstrafe bis zu einem Jahr oder mit Geldstrafe wird bestraft, wer entgegen § 3a ein Lebensmittel oder Agrarerzeugnis in Verkehr bringt.</w:t>
      </w:r>
    </w:p>
    <w:p>
      <w:r>
        <w:t xml:space="preserve">(2) Der Versuch ist strafbar.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7 LSpG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https://recht.nulegal.eu/gesetze/LSpG/7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