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LSpG — Private Kontrollstellen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28.06.2024 bis 16.01.2026. Dies ist nicht die aktuelle Fassung.</w:t>
      </w:r>
    </w:p>
    <w:p>
      <w:r>
        <w:t xml:space="preserve">Die Landesregierungen werden ermächtigt, durch Rechtsverordnung die Durchführung der nach Artikel 72 Absatz 6 der Verordnung (EU) 2024/1143 erforderlichen Kontrollen zugelassenen privaten Kontrollstellen zu übertragen oder zugelassene private Kontrollstellen bei der Durchführung der nach Artikel 72 Absatz 6 der Verordnung (EU) 2024/1143 erforderlichen Kontrollen zu beteiligen sowie die Voraussetzungen und das Verfahren der Zulassung privater Kontrollstellen zu regeln. Die Landesregierungen sind befugt, die Ermächtigung nach Satz 1 durch Rechtsverordnung ganz oder teilweise auf andere Behörden zu übertragen.</w:t>
      </w:r>
    </w:p>
    <w:p>
      <w:r>
        <w:rPr>
          <w:color w:val="555555"/>
          <w:sz w:val="17"/>
        </w:rPr>
        <w:t xml:space="preserve">Zitiervorschlag: § 5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