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LSpG — Überwachung</w:t>
      </w:r>
    </w:p>
    <w:p>
      <w:r>
        <w:rPr>
          <w:color w:val="555555"/>
          <w:sz w:val="18"/>
        </w:rPr>
        <w:t xml:space="preserve">Lebensmittelspezialitätengesetz</w:t>
      </w:r>
    </w:p>
    <w:p>
      <w:r>
        <w:rPr>
          <w:color w:val="555555"/>
          <w:sz w:val="18"/>
        </w:rPr>
        <w:t xml:space="preserve">Historische Fassung: Stand 19.11.2022 bis 16.01.2026. Dies ist nicht die aktuelle Fassung.</w:t>
      </w:r>
    </w:p>
    <w:p>
      <w:r>
        <w:t xml:space="preserve">(1) Die nach den in § 1 Abs. 1 genannten Rechtsakten erforderliche Überwachung und Kontrolle (Überwachung) obliegt den nach Landesrecht zuständigen Stellen.</w:t>
      </w:r>
    </w:p>
    <w:p>
      <w:r>
        <w:t xml:space="preserve">(2) Soweit es zur Überwachung der Einhaltung der in § 1 Abs. 1 genannten Rechtsakte erforderlich ist, können die Beauftragten der zuständigen Stellen bei Betrieben, die Agrarerzeugnisse oder Lebensmittel herstellen oder in den Verkehr bringen oder innergemeinschaftlich verbringen, einführen oder ausführen, während der Geschäfts- oder Betriebszeit</w:t>
      </w:r>
    </w:p>
    <w:p>
      <w:pPr>
        <w:ind w:left="420"/>
      </w:pPr>
      <w:r>
        <w:t xml:space="preserve">1. Geschäftsräume und Grundstücke, Verkaufseinrichtungen und Transportmittel betreten und dort Besichtigungen vornehmen,</w:t>
      </w:r>
    </w:p>
    <w:p>
      <w:pPr>
        <w:ind w:left="420"/>
      </w:pPr>
      <w:r>
        <w:t xml:space="preserve">2. Proben gegen Empfangsbescheinigung entnehmen; auf Verlangen des Betroffenen ist ein Teil der Probe oder, falls diese unteilbar ist, eine zweite Probe amtlich verschlossen und versiegelt zurückzulassen,</w:t>
      </w:r>
    </w:p>
    <w:p>
      <w:pPr>
        <w:ind w:left="420"/>
      </w:pPr>
      <w:r>
        <w:t xml:space="preserve">3. Geschäftsunterlagen einsehen und prüfen,</w:t>
      </w:r>
    </w:p>
    <w:p>
      <w:pPr>
        <w:ind w:left="420"/>
      </w:pPr>
      <w:r>
        <w:t xml:space="preserve">4. Auskunft verlangen.</w:t>
      </w:r>
    </w:p>
    <w:p>
      <w:r>
        <w:t xml:space="preserve">Diese Befugnisse erstrecken sich auch auf Agrarerzeugnisse oder Lebensmittel, die an öffentlichen Orten, insbesondere auf Märkten, Plätzen, Straßen oder im Umherziehen in den Verkehr gebracht werden.</w:t>
      </w:r>
    </w:p>
    <w:p>
      <w:r>
        <w:t xml:space="preserve">(3) Inhaber oder Leiter der Betriebe sind verpflichtet, das Betreten der Geschäftsräume und Grundstücke, Verkaufseinrichtungen und Transportmittel sowie die dort vorzunehmenden Besichtigungen zu gestatten, die zu besichtigenden Agrarerzeugnisse oder Lebensmittel selbst oder durch andere so darzulegen, daß die Besichtigung ordnungsgemäß vorgenommen werden kann, selbst oder durch andere die erforderliche Hilfe bei Besichtigungen zu leisten, die Proben entnehmen zu lassen, die geschäftlichen Unterlagen vorzulegen, prüfen zu lassen und Auskünfte zu erteilen.</w:t>
      </w:r>
    </w:p>
    <w:p>
      <w:r>
        <w:t xml:space="preserve">(4) Erfolgt die Überwachung bei der Einfuhr oder bei der Ausfuhr, so gelten die Absätze 2 und 3 entsprechend auch für denjenigen, der die Agrarerzeugnisse oder Lebensmittel für den Betriebsinhaber innergemeinschaftlich verbringt, einführt oder ausführt.</w:t>
      </w:r>
    </w:p>
    <w:p>
      <w:r>
        <w:t xml:space="preserve">(5) Der zur Erteilung einer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t xml:space="preserve">(6) Das Bundesministerium für Ernährung und Landwirtschaft wird ermächtigt, im Einvernehmen mit den Bundesministerien für Wirtschaft und Klimaschutz und der Finanzen durch Rechtsverordnung, die nicht der Zustimmung des Bundesrates bedarf, die Voraussetzungen und das Verfahren der Überwachung der Agrarerzeugnisse oder Lebensmittel beim innergemeinschaftlichen Verbringen oder bei der Einfuhr oder Ausfuhr zu regeln.</w:t>
      </w:r>
    </w:p>
    <w:p>
      <w:r>
        <w:rPr>
          <w:color w:val="555555"/>
          <w:sz w:val="17"/>
        </w:rPr>
        <w:t xml:space="preserve">Zitiervorschlag: § 4 LSpG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