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LSpG — Verbot der widerrechtlichen Nutzung eines geschützten Namens</w:t>
      </w:r>
    </w:p>
    <w:p>
      <w:r>
        <w:rPr>
          <w:color w:val="555555"/>
          <w:sz w:val="18"/>
        </w:rPr>
        <w:t xml:space="preserve">Lebensmittelspezialitätengesetz</w:t>
      </w:r>
    </w:p>
    <w:p>
      <w:r>
        <w:rPr>
          <w:color w:val="555555"/>
          <w:sz w:val="18"/>
        </w:rPr>
        <w:t xml:space="preserve">Historische Fassung: Stand 28.06.2024 bis 16.01.2026. Dies ist nicht die aktuelle Fassung.</w:t>
      </w:r>
    </w:p>
    <w:p>
      <w:r>
        <w:t xml:space="preserve">Es ist verboten, ein Lebensmittel oder Agrarerzeugnis unter</w:t>
      </w:r>
    </w:p>
    <w:p>
      <w:pPr>
        <w:ind w:left="420"/>
      </w:pPr>
      <w:r>
        <w:t xml:space="preserve">1. dem Namen einer garantiert traditionellen Spezialität,</w:t>
      </w:r>
    </w:p>
    <w:p>
      <w:pPr>
        <w:ind w:left="420"/>
      </w:pPr>
      <w:r>
        <w:t xml:space="preserve">2. dem Unionszeichen nach Artikel 70 Absatz 1 Satz 1 der Verordnung (EU) 2024/1143 in Verbindung mit Artikel 2 der Delegierten Verordnung (EU) Nr. 664/2014 der Kommission vom 18. Dezember 2013 zur Ergänzung der Verordnung (EU) Nr. 1151/2012 des Europäischen Parlaments und des Rates im Hinblick auf die Festlegung der EU-Zeichen für geschützte Ursprungsbezeichnungen, geschützte geografische Angaben und garantiert traditionelle Spezialitäten sowie im Hinblick auf bestimmte herkunftsbezogene Vorschriften, Verfahrensvorschriften und zusätzliche Übergangsvorschriften (ABl. L 179 vom 19.6.2014, S. 17) oder</w:t>
      </w:r>
    </w:p>
    <w:p>
      <w:pPr>
        <w:ind w:left="420"/>
      </w:pPr>
      <w:r>
        <w:t xml:space="preserve">3. der Verwendung des Begriffs „garantiert traditionelle Spezialität“</w:t>
      </w:r>
    </w:p>
    <w:p>
      <w:r>
        <w:t xml:space="preserve">in den Verkehr zu bringen, wenn das Erzeugnis nicht der betreffenden Produktspezifikation entspricht.</w:t>
      </w:r>
    </w:p>
    <w:p>
      <w:r>
        <w:rPr>
          <w:color w:val="555555"/>
          <w:sz w:val="17"/>
        </w:rPr>
        <w:t xml:space="preserve">Zitiervorschlag: § 3a LSpG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https://recht.nulegal.eu/gesetze/LSpG/3a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