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LSpG — Anwendungsbereich</w:t>
      </w:r>
    </w:p>
    <w:p>
      <w:r>
        <w:rPr>
          <w:color w:val="555555"/>
          <w:sz w:val="18"/>
        </w:rPr>
        <w:t xml:space="preserve">Lebensmittelspezialitätengesetz</w:t>
      </w:r>
    </w:p>
    <w:p>
      <w:r>
        <w:rPr>
          <w:color w:val="555555"/>
          <w:sz w:val="18"/>
        </w:rPr>
        <w:t xml:space="preserve">Historische Fassung: Stand 28.06.2024 bis 16.01.2026. Dies ist nicht die aktuelle Fassung.</w:t>
      </w:r>
    </w:p>
    <w:p>
      <w:r>
        <w:t xml:space="preserve">(1) Dieses Gesetz dient der Durchführung der Verordnung (EU) 2024/1143 des Europäischen Parlaments und des Rates vom 11. April 2024 über geografische Angaben für Wein, Spirituosen und landwirtschaftliche Erzeugnisse und über garantiert traditionelle Spezialitäten und fakultative Qualitätsangaben für landwirtschaftliche Erzeugnisse sowie zur Änderung der Verordnungen (EU) Nr. 1308/2013, (EU) 2019/787 und (EU) 2019/1753 und zur Aufhebung der Verordnung (EU) Nr. 1151/2012 (ABl. L, 2024/1143, 23.4.2024) in der jeweils geltenden Fassung sowie der im Rahmen dieser Verordnung oder zu ihrer Durchführung erlassenen Rechtsakte der Europäischen Union, soweit dort Regelungen zu garantiert traditionellen Spezialitäten und fakultativen Qualitätsangaben getroffen sind.</w:t>
      </w:r>
    </w:p>
    <w:p>
      <w:r>
        <w:t xml:space="preserve">(2) Unberührt von den Vorschriften dieses Gesetzes und den auf Grund dieses Gesetzes erlassenen Rechtsverordnungen bleiben die Vorschriften des Lebensmittelrechts und des Weinrechts.</w:t>
      </w:r>
    </w:p>
    <w:p>
      <w:r>
        <w:rPr>
          <w:color w:val="555555"/>
          <w:sz w:val="17"/>
        </w:rPr>
        <w:t xml:space="preserve">Zitiervorschlag: § 1 LSpG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https://recht.nulegal.eu/gesetze/LSpG/1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