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LSonGebV (Brandenburg) — Gebührenschuldner</w:t>
      </w:r>
    </w:p>
    <w:p>
      <w:r>
        <w:rPr>
          <w:color w:val="555555"/>
          <w:sz w:val="18"/>
        </w:rPr>
        <w:t xml:space="preserve">Sondernutzungsgebührenverordnung Landesstraßen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Gebührenschuldner sind</w:t>
      </w:r>
    </w:p>
    <w:p>
      <w:r>
        <w:t xml:space="preserve">der Sondernutzungsausübende; der Erlaubnisnehmer oder sein Rechtsnachfolger.</w:t>
      </w:r>
    </w:p>
    <w:p>
      <w:r>
        <w:t xml:space="preserve">(2) Mehrere Gebührenschuldner haften als Gesamtschuldner.</w:t>
      </w:r>
    </w:p>
    <w:p>
      <w:r>
        <w:rPr>
          <w:color w:val="555555"/>
          <w:sz w:val="17"/>
        </w:rPr>
        <w:t xml:space="preserve">Zitiervorschlag: § 4 LSonGebV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https://recht.nulegal.eu/gesetze/LSonGebV/4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