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LSonGebV (Brandenburg) — Sondernutzungsgebühren</w:t>
      </w:r>
    </w:p>
    <w:p>
      <w:r>
        <w:rPr>
          <w:color w:val="555555"/>
          <w:sz w:val="18"/>
        </w:rPr>
        <w:t xml:space="preserve">Sondernutzungsgebührenverordnung Landesstraßen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Sondernutzungen an Landesstraßen mit Ausnahme der Ortsdurchfahrten werden Gebühren nach dieser Verordnung erhoben.</w:t>
      </w:r>
    </w:p>
    <w:p>
      <w:r>
        <w:rPr>
          <w:color w:val="555555"/>
          <w:sz w:val="17"/>
        </w:rPr>
        <w:t xml:space="preserve">Zitiervorschlag: § 1 LSonGebV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https://recht.nulegal.eu/gesetze/LSonGebV/1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