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LSeilbG (Sachsen) — Planfeststellung</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Mit Ausnahme von Schleppaufzügen dürfen neue Seilbahnen nur gebaut und bestehende nur geändert werden, wenn der Plan vorher festgestellt ist (Planfeststellung). Planfeststellungen sind auch durchzuführen für den Neubau oder die Änderung von Seilbahnen innerhalb eines angemessenen Sicherheitsabstandes von Betrieben nach Artikel 2 der Richtlinie 2012/18/EU des Europäischen Parlaments und des Rates vom 4. Juli 2012 zur Beherrschung der Gefahren schwerer Unfälle mit gefährlichen Stoffen, zur Änderung und anschließenden Aufhebung der Richtlinie 96/82/EG des Rates (ABl. L 197 vom 24.7.2012, S. 1), wenn die geplante Maßnahme Ursache von schweren Unfällen sein kann, durch sie das Risiko eines schweren Unfalls vergrößert werden kann oder durch sie die Folgen eines solchen Unfalls verschlimmert werden können. Anlagen und ihre Infrastruktur, Teilsysteme sowie Sicherheitsbauteile müssen den in Anhang II der Richtlinie 2000/9/EG genannten grundlegenden Anforderungen entsprechen. In die Planfeststellung können auch die für den Betrieb der Seilbahn erforderlichen Neben- und Hilfseinrichtungen, wie Wasser- und Stromversorgungsanlagen, Zufahrten, Seilbahnstationen, Werkstätten und ähnliche technische Einrichtungen, aufgenommen werden. Die Pläne zur technischen Einrichtung sind von der Aufsichtsbehörde zu prüfen. Der Planfeststellungsbeschluss soll eine Regelung darüber enthalten, ob und unter welchen Bedingungen die Seilbahnanlage einschließlich der für den Betrieb der Seilbahn notwendigen Neben- und Hilfseinrichtungen bei dauernder Einstellung des Seilbahnbetriebs abzubauen ist.</w:t>
      </w:r>
    </w:p>
    <w:p>
      <w:r>
        <w:t xml:space="preserve">(2) Es gelten die §§ 72 bis 78 des Verwaltungsverfahrensgesetzes , soweit im Folgenden nichts anderes bestimmt ist. § 73 Absatz 3 Satz 2, § 74 Absatz 6 und 7 sowie § 76 Absatz 2 und 3 des Verwaltungsverfahrensgesetzes finden unter den Voraussetzungen des Absatzes 1 Satz 2 keine Anwendung. Die Bekanntmachung der Auslegung muss unter den Voraussetzungen des Absatzes 1 Satz 2 neben den Angaben nach § 73 Absatz 5 des Verwaltungsverfahrensgesetzes die in Artikel 15 Absatz 2 der Richtlinie 2012/18/EU genannten Informationen enthalten. Der Plan, der der betroffenen Öffentlichkeit zugänglich gemacht wird, umfasst unter den Voraussetzungen des Absatzes 1 Satz 2 neben den Zeichnungen und Erläuterungen nach § 73 Absatz 1 des Verwaltungsverfahrensgesetzes auch die erforderlichen Angaben nach Artikel 15 Absatz 3 der Richtlinie 2012/18/EU.</w:t>
      </w:r>
    </w:p>
    <w:p>
      <w:r>
        <w:t xml:space="preserve">(3) Der Plan darf nicht festgestellt werden, soweit durch eine Seilbahn eine öffentliche Straße benutzt werden soll. Das gilt nicht, wenn ein unabweisbares öffentliches Verkehrsbedürfnis auf andere Weise nicht befriedigt werden kann und die Straßenbaubehörde zustimmt.</w:t>
      </w:r>
    </w:p>
    <w:p>
      <w:r>
        <w:t xml:space="preserve">(4) Außer in den von § 77 des Verwaltungsverfahrensgesetzes geregelten Fällen kann der Planfeststellungsbeschluss auch aufgehoben werden, wenn der Antrag auf Genehmigung unanfechtbar abgelehnt wird oder die Genehmigung vollziehbar widerrufen oder zurückgenommen ist; § 77 Satz 2 und 3 des Verwaltungsverfahrensgesetzes gilt entsprechend.</w:t>
      </w:r>
    </w:p>
    <w:p>
      <w:r>
        <w:rPr>
          <w:color w:val="555555"/>
          <w:sz w:val="17"/>
        </w:rPr>
        <w:t xml:space="preserve">Zitiervorschlag: § 7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