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LSeilbG (Sachsen) — Ordnungswidrigkeiten</w:t>
      </w:r>
    </w:p>
    <w:p>
      <w:r>
        <w:rPr>
          <w:color w:val="555555"/>
          <w:sz w:val="18"/>
        </w:rPr>
        <w:t xml:space="preserve">Landesseilbahngesetz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Ordnungswidrig handelt, wer vorsätzlich oder fahrlässig</w:t>
      </w:r>
    </w:p>
    <w:p>
      <w:r>
        <w:t xml:space="preserve">1. ohne die nach § 4 erforderliche Genehmigung eine Seilbahn baut oder wesentliche Erweiterungen oder Änderungen des Seilbahnbetriebes vornimmt,</w:t>
      </w:r>
    </w:p>
    <w:p>
      <w:r>
        <w:t xml:space="preserve">2. ohne die nach § 7 erforderliche Planfeststellung oder Plangenehmigung eine Seilbahn baut oder ändert,</w:t>
      </w:r>
    </w:p>
    <w:p>
      <w:r>
        <w:t xml:space="preserve">3. entgegen § 8 Abs. 1 wesentlich wertsteigernde oder den geplanten Bau der Seilbahn erheblich erschwerende Veränderungen vornimmt,</w:t>
      </w:r>
    </w:p>
    <w:p>
      <w:r>
        <w:t xml:space="preserve">4. entgegen § 10 keinen Betriebsleiter und nicht mindestens einen Stellvertreter bestellt oder nicht deren Bestätigung erwirkt,</w:t>
      </w:r>
    </w:p>
    <w:p>
      <w:r>
        <w:t xml:space="preserve">5. ohne die nach § 11 Abs. 2 Satz 1 erforderliche Erlaubnis den Betrieb einer Seilbahn eröffnet,</w:t>
      </w:r>
    </w:p>
    <w:p>
      <w:r>
        <w:t xml:space="preserve">6. entgegen § 13 der zuständigen Behörde nicht alle Vorkommnisse und Unfälle mitteilt, die für die Betriebssicherheit oder Leistungsfähigkeit von Bedeutung sein können, eine Auskunft nicht, nicht fristgemäß, nicht wahrheitsgemäß oder nicht vollständig erteilt, Unterlagen nicht, nicht fristgemäß oder nicht vollständig vorlegt oder eine Besichtigung nicht duldet,</w:t>
      </w:r>
    </w:p>
    <w:p>
      <w:r>
        <w:t xml:space="preserve">7. einer auf Grund von § 17 ergangenen vollziehbaren Anordnung zuwiderhandelt,</w:t>
      </w:r>
    </w:p>
    <w:p>
      <w:r>
        <w:t xml:space="preserve">8. einer nach § 19 Abs. 1 erlassenen Rechtsverordnung, soweit diese für einen bestimmten Tatbestand auf diese Bußgeldvorschrift verweist, oder einer auf Grund einer solchen Rechtsverordnung ergangenen vollziehbaren Anordnung zuwiderhandelt.</w:t>
      </w:r>
    </w:p>
    <w:p>
      <w:r>
        <w:t xml:space="preserve">(2) Die Ordnungswidrigkeit kann mit einer Geldbuße bis zu 25 000 EUR geahndet werden.</w:t>
      </w:r>
    </w:p>
    <w:p>
      <w:r>
        <w:t xml:space="preserve">(3) Verwaltungsbehörde im Sinne des § 36 Abs. 1 Nr. 1 des Gesetzes über Ordnungswidrigkeiten in der Fassung der Bekanntmachung vom 19. Februar 1987 (BGBl. I S. 602), das zuletzt durch Artikel 4 des Gesetzes vom 13. Mai 2015 (BGBl. I S. 706) geändert worden ist, in der jeweils geltenden Fassung, ist die Behörde, die für den Vollzug der verletzten Vorschrift zuständig ist.</w:t>
      </w:r>
    </w:p>
    <w:p>
      <w:r>
        <w:rPr>
          <w:color w:val="555555"/>
          <w:sz w:val="17"/>
        </w:rPr>
        <w:t xml:space="preserve">Zitiervorschlag: § 20 LSeilbG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https://recht.nulegal.eu/gesetze/LSeilbG/20</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