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LSeilbG (Sachsen) — Begriffsbestimmungen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Seilbahnen für den Personenverkehr im Sinne dieses Gesetzes sind Anlagen aus mehreren Bauteilen, die geplant, gebaut, montiert und in Betrieb genommen werden, um Personen zu befördern. Bei diesen Anlagen handelt es sich um</w:t>
      </w:r>
    </w:p>
    <w:p>
      <w:r>
        <w:t xml:space="preserve">1. Standseilbahnen und andere Anlagen, deren Fahrzeuge von Rädern oder anderen Einrichtungen getragen und durch ein oder mehrere Seile bewegt werden,</w:t>
      </w:r>
    </w:p>
    <w:p>
      <w:r>
        <w:t xml:space="preserve">2. Seilschwebebahnen, deren Fahrzeuge von einem oder mehreren Seilen getragen oder bewegt werden; dazu gehören auch Kabinenbahnen und Sesselbahnen,</w:t>
      </w:r>
    </w:p>
    <w:p>
      <w:r>
        <w:t xml:space="preserve">3. Schleppaufzüge, bei denen mit geeigneten Geräten ausgerüstete Benutzer durch ein Seil fortbewegt werden.</w:t>
      </w:r>
    </w:p>
    <w:p>
      <w:r>
        <w:t xml:space="preserve">(2) Anlage ist das an seinem Bestimmungsort errichtete, aus der Infrastruktur und den in Anhang I der Richtlinie 2000/9/EG aufgezählten Teilsystemen bestehende Gesamtsystem. Die Infrastruktur, die speziell für jede Anlage geplant und jeweils vor Ort errichtet wird, besteht aus der Linienführung, den Systemdaten sowie den für die Errichtung und Funktion der Anlage erforderlichen Stations- und Streckenbauwerken einschließlich der Fundamente.</w:t>
      </w:r>
    </w:p>
    <w:p>
      <w:r>
        <w:t xml:space="preserve">(3) Sicherheitsbauteil ist ein Grundbestandteil, eine Gruppe von Bestandteilen, eine Unterbaugruppe oder eine vollständige Baugruppe sowie jede Einrichtung, die zur Gewährleistung der Sicherheit Teil der Anlage und in der Sicherheitsanalyse ausgewiesen ist und deren Ausfall oder Fehlfunktion die Sicherheit oder Gesundheit von Personen, seien es Fahrgäste, Betriebspersonal oder Dritte, gefährdet.</w:t>
      </w:r>
    </w:p>
    <w:p>
      <w:r>
        <w:t xml:space="preserve">(4) Bauherr ist jede natürliche oder juristische Person, die den Auftrag für die Errichtung der Anlage erteilt.</w:t>
      </w:r>
    </w:p>
    <w:p>
      <w:r>
        <w:t xml:space="preserve">(5) Konformitätsbewertungsverfahren bezeichnet die Überprüfung der Übereinstimmung der Sicherheitsbauteile und Teilsysteme mit den in Anhang II der Richtlinie 2000/9/EG festgelegten grundlegenden Anforderungen.</w:t>
      </w:r>
    </w:p>
    <w:p>
      <w:r>
        <w:t xml:space="preserve">(6) Benannte Stellen sind Stellen, die mit dem Konformitätsbewertungsverfahren der Sicherheitsbauteile und Teilsysteme beauftragt sind.</w:t>
      </w:r>
    </w:p>
    <w:p>
      <w:r>
        <w:rPr>
          <w:color w:val="555555"/>
          <w:sz w:val="17"/>
        </w:rPr>
        <w:t xml:space="preserve">Zitiervorschlag: § 2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