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LSeilbG (Sachsen) — Eröffnung des Betriebes</w:t>
      </w:r>
    </w:p>
    <w:p>
      <w:r>
        <w:rPr>
          <w:color w:val="555555"/>
          <w:sz w:val="18"/>
        </w:rPr>
        <w:t xml:space="preserve">Landesseilbahngesetz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Genehmigungsbehörde kann für die betriebsfertige Herstellung der Seilbahn und die Eröffnung des Betriebes eine Frist setzen.</w:t>
      </w:r>
    </w:p>
    <w:p>
      <w:r>
        <w:t xml:space="preserve">(2) Die Eröffnung des Betriebes bedarf der Erlaubnis durch die Aufsichtsbehörde. Die Erlaubnis wird erteilt, wenn</w:t>
      </w:r>
    </w:p>
    <w:p>
      <w:r>
        <w:t xml:space="preserve">1. bei der Abnahme durch anerkannte Sachverständige oder zugelassene Stellen festgestellt ist, dass die Sicherheit der Anlage gewährleistet ist,</w:t>
      </w:r>
    </w:p>
    <w:p>
      <w:r>
        <w:t xml:space="preserve">2. die Nebenbestimmungen der Genehmigung sowie des Planfeststellungsbeschlusses oder der Plangenehmigung erfüllt sind,</w:t>
      </w:r>
    </w:p>
    <w:p>
      <w:r>
        <w:t xml:space="preserve">3. ein Betriebsleiter und mindestens ein Stellvertreter bestellt und bestätigt sind,</w:t>
      </w:r>
    </w:p>
    <w:p>
      <w:r>
        <w:t xml:space="preserve">4. der Unternehmer ausreichend versichert ist.</w:t>
      </w:r>
    </w:p>
    <w:p>
      <w:r>
        <w:t xml:space="preserve">(3) Die Erlaubnis kann mit Nebenbestimmungen versehen werden.</w:t>
      </w:r>
    </w:p>
    <w:p>
      <w:r>
        <w:t xml:space="preserve">(4) Für sicherheitsrelevante Erweiterungen und Änderungen der Anlagen und des Betriebes der Seilbahn gelten die Absätze 2 und 3 entsprechend.</w:t>
      </w:r>
    </w:p>
    <w:p>
      <w:r>
        <w:rPr>
          <w:color w:val="555555"/>
          <w:sz w:val="17"/>
        </w:rPr>
        <w:t xml:space="preserve">Zitiervorschlag: § 11 LSeilbG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https://recht.nulegal.eu/gesetze/LSeilbG/11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