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LSeilbG (Sachsen) — Anwendungsbereich</w:t>
      </w:r>
    </w:p>
    <w:p>
      <w:r>
        <w:rPr>
          <w:color w:val="555555"/>
          <w:sz w:val="18"/>
        </w:rPr>
        <w:t xml:space="preserve">Landesseilbahngesetz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gilt für Seilbahnen, die dem Personenverkehr dienen.</w:t>
      </w:r>
    </w:p>
    <w:p>
      <w:r>
        <w:t xml:space="preserve">(2) Dieses Gesetz gilt nicht für</w:t>
      </w:r>
    </w:p>
    <w:p>
      <w:r>
        <w:t xml:space="preserve">1. Aufzüge im Sinne der Aufzugsverordnung vom 17. Juni 1998 (BGBl. I S. 1393), die zuletzt durch Artikel 22 des Gesetzes vom 8. November 2011 (BGBl. I S. 2178) geändert worden ist, in der jeweils geltenden Fassung,</w:t>
      </w:r>
    </w:p>
    <w:p>
      <w:r>
        <w:t xml:space="preserve">2. seilbetriebene Straßenbahnen herkömmlicher Bauart,</w:t>
      </w:r>
    </w:p>
    <w:p>
      <w:r>
        <w:t xml:space="preserve">3. zu land- und forstwirtschaftlichen Zwecken genutzte Anlagen,</w:t>
      </w:r>
    </w:p>
    <w:p>
      <w:r>
        <w:t xml:space="preserve">4. feststehende und ortsveränderliche Jahrmarktgeräte sowie Anlagen in Vergnügungsparks, die zur Freizeitgestaltung und nicht als Personenverkehrsmittel dienen,</w:t>
      </w:r>
    </w:p>
    <w:p>
      <w:r>
        <w:t xml:space="preserve">5. bergbauliche Anlagen sowie zu industriellen Zwecken aufgestellte und genutzte Anlagen,</w:t>
      </w:r>
    </w:p>
    <w:p>
      <w:r>
        <w:t xml:space="preserve">6. seilbetriebene Fähren,</w:t>
      </w:r>
    </w:p>
    <w:p>
      <w:r>
        <w:t xml:space="preserve">7. Zahnradbahnen,</w:t>
      </w:r>
    </w:p>
    <w:p>
      <w:r>
        <w:t xml:space="preserve">8. durch Ketten gezogene Anlagen.</w:t>
      </w:r>
    </w:p>
    <w:p>
      <w:r>
        <w:rPr>
          <w:color w:val="555555"/>
          <w:sz w:val="17"/>
        </w:rPr>
        <w:t xml:space="preserve">Zitiervorschlag: § 1 LSeilbG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https://recht.nulegal.eu/gesetze/LSeilbG/1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